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GOTIdentifier"/>
        <w:keepNext/>
        <w:keepLines/>
        <w:pageBreakBefore w:val="0"/>
        <w:widowControl/>
        <w:spacing w:before="0" w:after="120"/>
        <w:jc w:val="center"/>
        <w:rPr>
          <w:rFonts w:ascii="Times New Roman" w:hAnsi="Times New Roman" w:eastAsia="Times New Roman" w:cs="Times New Roman"/>
          <w:color w:val="000000"/>
          <w:sz w:val="20"/>
          <w:szCs w:val="20"/>
        </w:rPr>
      </w:pPr>
      <w:r>
        <w:rPr>
          <w:rFonts w:ascii="Times New Roman" w:hAnsi="Times New Roman" w:eastAsia="Times New Roman" w:cs="Times New Roman"/>
          <w:b w:val="0"/>
          <w:bCs w:val="0"/>
          <w:color w:val="000000"/>
          <w:sz w:val="20"/>
          <w:szCs w:val="20"/>
        </w:rPr>
        <w:t>GOT-V1-2b-4</w:t>
      </w:r>
    </w:p>
    <w:p w14:paraId="462218B1" w14:textId="77777777" w:rsidR="00565BC1" w:rsidRPr="00565BC1" w:rsidRDefault="00565BC1" w:rsidP="00CD5E9F">
      <w:pPr>
        <w:pStyle w:val="GOTPaperTitle"/>
        <w:keepNext/>
        <w:keepLines/>
        <w:pageBreakBefore w:val="0"/>
        <w:widowControl/>
        <w:spacing w:before="0" w:after="120"/>
        <w:jc w:val="center"/>
        <w:rPr>
          <w:rFonts w:ascii="Times New Roman" w:hAnsi="Times New Roman" w:eastAsia="Times New Roman" w:cs="Times New Roman"/>
          <w:b w:val="1"/>
          <w:bCs w:val="1"/>
          <w:color w:val="000000"/>
          <w:sz w:val="48"/>
          <w:szCs w:val="48"/>
        </w:rPr>
      </w:pPr>
      <w:r w:rsidRPr="00565BC1">
        <w:rPr>
          <w:rFonts w:ascii="Times New Roman" w:hAnsi="Times New Roman" w:eastAsia="Times New Roman" w:cs="Times New Roman"/>
          <w:b w:val="1"/>
          <w:bCs w:val="1"/>
          <w:color w:val="000000"/>
          <w:kern w:val="36"/>
          <w:sz w:val="48"/>
          <w:szCs w:val="48"/>
          <w:lang w:eastAsia="en-GB"/>
          <w14:ligatures w14:val="none"/>
        </w:rPr>
        <w:t>On the Origin of Observation</w:t>
      </w:r>
    </w:p>
    <w:p w14:paraId="251A0B7B" w14:textId="28EA0426" w:rsidR="00565BC1" w:rsidRDefault="00CD5E9F" w:rsidP="00CD5E9F">
      <w:pPr>
        <w:pStyle w:val="GOTPaperSubtitle"/>
        <w:keepNext/>
        <w:keepLines/>
        <w:pageBreakBefore w:val="0"/>
        <w:widowControl/>
        <w:spacing w:before="0" w:after="120"/>
        <w:jc w:val="center"/>
        <w:rPr>
          <w:rFonts w:ascii="Times New Roman" w:hAnsi="Times New Roman" w:eastAsia="Times New Roman" w:cs="Times New Roman"/>
          <w:b w:val="0"/>
          <w:bCs w:val="0"/>
          <w:color w:val="000000"/>
          <w:sz w:val="24"/>
          <w:szCs w:val="24"/>
        </w:rPr>
      </w:pPr>
      <w:r>
        <w:rPr>
          <w:rFonts w:ascii="Times New Roman" w:hAnsi="Times New Roman" w:eastAsia="Times New Roman" w:cs="Times New Roman"/>
          <w:b w:val="0"/>
          <w:bCs w:val="0"/>
          <w:color w:val="000000"/>
          <w:kern w:val="0"/>
          <w:sz w:val="24"/>
          <w:szCs w:val="24"/>
          <w:lang w:eastAsia="en-GB"/>
          <w14:ligatures w14:val="none"/>
        </w:rPr>
        <w:t xml:space="preserve"/>
      </w:r>
      <w:r w:rsidR="00565BC1" w:rsidRPr="00CD5E9F">
        <w:rPr>
          <w:rFonts w:ascii="Times New Roman" w:hAnsi="Times New Roman" w:eastAsia="Times New Roman" w:cs="Times New Roman"/>
          <w:b w:val="0"/>
          <w:bCs w:val="0"/>
          <w:color w:val="000000"/>
          <w:kern w:val="0"/>
          <w:sz w:val="24"/>
          <w:szCs w:val="24"/>
          <w:lang w:eastAsia="en-GB"/>
          <w14:ligatures w14:val="none"/>
        </w:rPr>
        <w:t xml:space="preserve">Bounded Registration and Realised Observer-Dependence</w:t>
      </w:r>
      <w:r>
        <w:rPr>
          <w:rFonts w:ascii="Times New Roman" w:hAnsi="Times New Roman" w:eastAsia="Times New Roman" w:cs="Times New Roman"/>
          <w:b w:val="0"/>
          <w:bCs w:val="0"/>
          <w:color w:val="000000"/>
          <w:kern w:val="0"/>
          <w:sz w:val="24"/>
          <w:szCs w:val="24"/>
          <w:lang w:eastAsia="en-GB"/>
          <w14:ligatures w14:val="none"/>
        </w:rPr>
        <w:t xml:space="preserve"/>
      </w:r>
    </w:p>
    <w:p>
      <w:pPr>
        <w:pStyle w:val="GOTSeparator"/>
        <w:keepNext/>
        <w:keepLines/>
        <w:pageBreakBefore w:val="0"/>
        <w:widowControl/>
        <w:spacing w:before="480" w:after="480" w:lineRule="exact" w:line="20"/>
      </w:pPr>
    </w:p>
    <w:p w14:paraId="7337249A" w14:textId="77777777" w:rsidR="00565BC1" w:rsidRPr="00CD5E9F" w:rsidRDefault="00565BC1" w:rsidP="00565BC1">
      <w:pPr>
        <w:pStyle w:val="GOTAbstractHeading"/>
        <w:keepNext/>
        <w:keepLines/>
        <w:pageBreakBefore w:val="0"/>
        <w:widowControl/>
        <w:spacing w:before="0" w:after="120"/>
        <w:rPr>
          <w:rFonts w:ascii="Times New Roman" w:hAnsi="Times New Roman" w:eastAsia="Times New Roman" w:cs="Times New Roman"/>
          <w:b w:val="1"/>
          <w:bCs w:val="1"/>
          <w:color w:val="000000"/>
          <w:sz w:val="36"/>
          <w:szCs w:val="36"/>
        </w:rPr>
      </w:pPr>
      <w:r w:rsidRPr="00CD5E9F">
        <w:rPr>
          <w:rFonts w:ascii="Times New Roman" w:hAnsi="Times New Roman" w:eastAsia="Times New Roman" w:cs="Times New Roman"/>
          <w:b w:val="1"/>
          <w:bCs w:val="1"/>
          <w:color w:val="000000"/>
          <w:kern w:val="0"/>
          <w:sz w:val="36"/>
          <w:szCs w:val="36"/>
          <w:lang w:eastAsia="en-GB"/>
          <w14:ligatures w14:val="none"/>
        </w:rPr>
        <w:t>Abstract</w:t>
      </w:r>
    </w:p>
    <w:p w14:paraId="25842D9F" w14:textId="77777777" w:rsidR="00565BC1" w:rsidRPr="00565BC1" w:rsidRDefault="00565BC1" w:rsidP="00565BC1">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Observation is bounded registration.</w:t>
      </w:r>
    </w:p>
    <w:p w14:paraId="5AD6E209"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Observation is not a certificate, a privileged warrant, a mental possession, a semantic interpretation, or unmediated access to reality. It is the registration of available distinction through a bounded locus-interface-regime. A finite observer does not possess reality as total state. It registers relation through the conditions of its own bounded accessibility: boundary, interface, channel, threshold, scale, abstraction, registration, retention, and possible redeployment.</w:t>
      </w:r>
    </w:p>
    <w:p w14:paraId="4131EEBD" w14:textId="77777777" w:rsidR="00B72239" w:rsidRDefault="00B72239" w:rsidP="00B72239">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paper translates the inherited RRP Set into the observation facet.</w:t>
      </w:r>
    </w:p>
    <w:p w14:paraId="33A0A6FF" w14:textId="77777777" w:rsidR="00B72239" w:rsidRDefault="00B72239" w:rsidP="00B7223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1 established the reference architecture of information. A physical difference becomes informational only where it is made relationally available as operational distinction for a locus under specified reference conditions. RRP fixes the reference node. OP supplies available contrast. OA classes that contrast. OR registers one classed alternative into state. RAS retains the registered distinction. RSD redeploys retained distinction into later branch-realisation.</w:t>
      </w:r>
    </w:p>
    <w:p w14:paraId="3533526A" w14:textId="77777777" w:rsidR="00B72239" w:rsidRDefault="00B72239" w:rsidP="00B7223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1a established the physical pathway of availability. Signal is preserved contrast through which relation can become available.</w:t>
      </w:r>
    </w:p>
    <w:p w14:paraId="0CED74D1" w14:textId="343AF127" w:rsidR="00B72239" w:rsidRDefault="00B72239" w:rsidP="00B7223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1</w:t>
      </w:r>
      <w:r w:rsidR="00AA5412">
        <w:rPr>
          <w:rFonts w:ascii="Times New Roman" w:hAnsi="Times New Roman" w:eastAsia="Times New Roman" w:cs="Times New Roman"/>
          <w:color w:val="000000"/>
          <w:sz w:val="24"/>
          <w:szCs w:val="24"/>
        </w:rPr>
        <w:t>b</w:t>
      </w:r>
      <w:r>
        <w:rPr>
          <w:rFonts w:ascii="Times New Roman" w:hAnsi="Times New Roman" w:eastAsia="Times New Roman" w:cs="Times New Roman"/>
          <w:color w:val="000000"/>
          <w:sz w:val="24"/>
          <w:szCs w:val="24"/>
        </w:rPr>
        <w:t xml:space="preserve"> established the realism-facing guardrail of the same architecture. Finite access does not possess the target whole. It forms indexed, corrigible models or records of target relations under boundary, interface, scale, horizon, abstraction, registration, retention, comparator pressure, and residual discipline.</w:t>
      </w:r>
    </w:p>
    <w:p w14:paraId="0CA73445" w14:textId="77777777" w:rsidR="00B72239" w:rsidRDefault="00B72239" w:rsidP="00B7223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2 established knowledge as retained distinction. The canonical carrier of minimal knowledge is RAS: an OA-keyed, OR-produced retained token-state anchored in OP and indexed to RRP.</w:t>
      </w:r>
    </w:p>
    <w:p w14:paraId="058CF357" w14:textId="77777777" w:rsidR="00B72239" w:rsidRDefault="00B72239" w:rsidP="00B72239">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3 established intelligence as applied distinction. Intelligence begins where distinction-conditioned organisation alters downstream trajectory selection for a locus under specified reference conditions.</w:t>
      </w:r>
    </w:p>
    <w:p w14:paraId="65DA9030"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present paper begins after those positions. It does not ask how difference becomes information, how contrast becomes physically available, what status distinction has when retained, or what happens when distinction is applied. It asks what happens when distinction is registered through a bounded interface as retained record.</w:t>
      </w:r>
    </w:p>
    <w:p w14:paraId="0CDA7DBF"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answer is observation.</w:t>
      </w:r>
    </w:p>
    <w:p w14:paraId="3516C8FA"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 xml:space="preserve">In the observation facet, the observation event is OR. The observation record is RAS. Strong observation requires RSD. This means that observation cannot be treated as a single </w:t>
      </w:r>
      <w:r w:rsidRPr="00565BC1">
        <w:rPr>
          <w:rFonts w:ascii="Times New Roman" w:hAnsi="Times New Roman" w:eastAsia="Times New Roman" w:cs="Times New Roman"/>
          <w:color w:val="000000"/>
          <w:kern w:val="0"/>
          <w:sz w:val="24"/>
          <w:szCs w:val="24"/>
          <w:lang w:eastAsia="en-GB"/>
          <w14:ligatures w14:val="none"/>
        </w:rPr>
        <w:t>undifferentiated condition. A perturbation may occur without registration. Registration may occur without persistence. A record may exist without grounded consultability. A consultable record may remain unused. A used record may fail to make a comparator-stable downstream difference. The observation paper therefore separates observation-status into Pre-TO failure, Trivial Observation, Observation Inference Potential, and Non-Trivial Observation.</w:t>
      </w:r>
    </w:p>
    <w:p w14:paraId="4628E853"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Pre-TO failure occurs where coupling, perturbation, signal reception, transient tokenisation, or persistent physical alteration occurs without a persistent, re-identifiable OA-keyed RAS.</w:t>
      </w:r>
    </w:p>
    <w:p w14:paraId="2A659943"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Trivial Observation, or TO, is record-presence. An OR event has produced an OA-keyed RAS that remains re-identifiable over the relevant operational horizon at the reference scale.</w:t>
      </w:r>
    </w:p>
    <w:p w14:paraId="16B56267"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Observation Inference Potential, or OIP, is grounded deployability. The retained observation record is embedded within, or coupled to, an organisation that makes an admissible RSD pathway physically well-posed, although realised redeployment has not yet been established.</w:t>
      </w:r>
    </w:p>
    <w:p w14:paraId="478CD2B3"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Non-Trivial Observation, or NTO, is realised record-operativity. A prior OA-keyed RAS is actually redeployed through RSD as a controlling discriminator for later registration, transition, inference, action, control, or downstream outcome selection, and that dependence is comparator-stable relative to an admissible Baseline Dynamics family.</w:t>
      </w:r>
    </w:p>
    <w:p w14:paraId="007BE93C"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These statuses also fix observer-status. An observer-locus is OIP-status in the observation facet. It is observation-capable organisation: retained record embedded in a grounded consultability pathway. An Observer, capitalised, is realised observation. It is the NTO condition: retained record actually redeployed as a controlling discriminator under comparator discipline.</w:t>
      </w:r>
    </w:p>
    <w:p w14:paraId="2CAF4BDC"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This distinction is central. A record is not yet an observer-locus. An observer-locus is not yet an Observer. Grounded deployability is not realised deployment. Observation-capacity is not the same as realised observation. Conscious observation is a stronger specialised case, not the minimal condition.</w:t>
      </w:r>
    </w:p>
    <w:p w14:paraId="5BFDFF14"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Observation is therefore broader than human perception and narrower than mere interaction. It does not require consciousness, self-awareness, language, semantic interpretation, or human-like cognition. It also does not arise from coupling alone, physical persistence alone, signal reception alone, or external interpretation alone.</w:t>
      </w:r>
    </w:p>
    <w:p w14:paraId="3A2F8489"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Observation gives record-provenance, not automatic truth-status. A record may be real, retained, and produced through bounded registration while remaining partial, abstraction-bound, scale-bound, noisy, distorted, misleading, or later corrected. This is why the later observation-extension papers are necessary. Paper 4a asks what follows from the fact that all observation requires abstraction. Paper 4b asks what follows from the fact that all observation is scale-bound. Paper 4c asks how observation programs perform, drift, overload, and collapse.</w:t>
      </w:r>
    </w:p>
    <w:p w14:paraId="4BFC4AF8"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Compressed:</w:t>
      </w:r>
    </w:p>
    <w:p w14:paraId="28D4E5B6" w14:textId="1D19A40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Observation is bounded registration.</w:t>
      </w:r>
      <w:r w:rsidRPr="00565BC1">
        <w:rPr>
          <w:rFonts w:ascii="Times New Roman" w:hAnsi="Times New Roman" w:eastAsia="Times New Roman" w:cs="Times New Roman"/>
          <w:color w:val="000000"/>
          <w:kern w:val="0"/>
          <w:sz w:val="24"/>
          <w:szCs w:val="24"/>
          <w:lang w:eastAsia="en-GB"/>
          <w14:ligatures w14:val="none"/>
        </w:rPr>
        <w:br/>
        <w:t>The observation event is OR.</w:t>
      </w:r>
      <w:r w:rsidRPr="00565BC1">
        <w:rPr>
          <w:rFonts w:ascii="Times New Roman" w:hAnsi="Times New Roman" w:eastAsia="Times New Roman" w:cs="Times New Roman"/>
          <w:color w:val="000000"/>
          <w:kern w:val="0"/>
          <w:sz w:val="24"/>
          <w:szCs w:val="24"/>
          <w:lang w:eastAsia="en-GB"/>
          <w14:ligatures w14:val="none"/>
        </w:rPr>
        <w:br/>
        <w:t>The observation record is RAS.</w:t>
      </w:r>
      <w:r w:rsidRPr="00565BC1">
        <w:rPr>
          <w:rFonts w:ascii="Times New Roman" w:hAnsi="Times New Roman" w:eastAsia="Times New Roman" w:cs="Times New Roman"/>
          <w:color w:val="000000"/>
          <w:kern w:val="0"/>
          <w:sz w:val="24"/>
          <w:szCs w:val="24"/>
          <w:lang w:eastAsia="en-GB"/>
          <w14:ligatures w14:val="none"/>
        </w:rPr>
        <w:br/>
        <w:t>Strong observation requires RSD.</w:t>
      </w:r>
      <w:r w:rsidRPr="00565BC1">
        <w:rPr>
          <w:rFonts w:ascii="Times New Roman" w:hAnsi="Times New Roman" w:eastAsia="Times New Roman" w:cs="Times New Roman"/>
          <w:color w:val="000000"/>
          <w:kern w:val="0"/>
          <w:sz w:val="24"/>
          <w:szCs w:val="24"/>
          <w:lang w:eastAsia="en-GB"/>
          <w14:ligatures w14:val="none"/>
        </w:rPr>
        <w:br/>
      </w:r>
      <w:r w:rsidRPr="00565BC1">
        <w:rPr>
          <w:rFonts w:ascii="Times New Roman" w:hAnsi="Times New Roman" w:eastAsia="Times New Roman" w:cs="Times New Roman"/>
          <w:color w:val="000000"/>
          <w:kern w:val="0"/>
          <w:sz w:val="24"/>
          <w:szCs w:val="24"/>
          <w:lang w:eastAsia="en-GB"/>
          <w14:ligatures w14:val="none"/>
        </w:rPr>
        <w:t>Pre-TO failure is below record-presence.</w:t>
      </w:r>
      <w:r w:rsidRPr="00565BC1">
        <w:rPr>
          <w:rFonts w:ascii="Times New Roman" w:hAnsi="Times New Roman" w:eastAsia="Times New Roman" w:cs="Times New Roman"/>
          <w:color w:val="000000"/>
          <w:kern w:val="0"/>
          <w:sz w:val="24"/>
          <w:szCs w:val="24"/>
          <w:lang w:eastAsia="en-GB"/>
          <w14:ligatures w14:val="none"/>
        </w:rPr>
        <w:br/>
        <w:t>TO is record-presence.</w:t>
      </w:r>
      <w:r w:rsidRPr="00565BC1">
        <w:rPr>
          <w:rFonts w:ascii="Times New Roman" w:hAnsi="Times New Roman" w:eastAsia="Times New Roman" w:cs="Times New Roman"/>
          <w:color w:val="000000"/>
          <w:kern w:val="0"/>
          <w:sz w:val="24"/>
          <w:szCs w:val="24"/>
          <w:lang w:eastAsia="en-GB"/>
          <w14:ligatures w14:val="none"/>
        </w:rPr>
        <w:br/>
        <w:t>OIP is grounded deployability.</w:t>
      </w:r>
      <w:r w:rsidRPr="00565BC1">
        <w:rPr>
          <w:rFonts w:ascii="Times New Roman" w:hAnsi="Times New Roman" w:eastAsia="Times New Roman" w:cs="Times New Roman"/>
          <w:color w:val="000000"/>
          <w:kern w:val="0"/>
          <w:sz w:val="24"/>
          <w:szCs w:val="24"/>
          <w:lang w:eastAsia="en-GB"/>
          <w14:ligatures w14:val="none"/>
        </w:rPr>
        <w:br/>
        <w:t>NTO is realised record-operativity.</w:t>
      </w:r>
      <w:r w:rsidRPr="00565BC1">
        <w:rPr>
          <w:rFonts w:ascii="Times New Roman" w:hAnsi="Times New Roman" w:eastAsia="Times New Roman" w:cs="Times New Roman"/>
          <w:color w:val="000000"/>
          <w:kern w:val="0"/>
          <w:sz w:val="24"/>
          <w:szCs w:val="24"/>
          <w:lang w:eastAsia="en-GB"/>
          <w14:ligatures w14:val="none"/>
        </w:rPr>
        <w:br/>
        <w:t>An observer-locus is OIP-status in the observation facet.</w:t>
      </w:r>
      <w:r w:rsidRPr="00565BC1">
        <w:rPr>
          <w:rFonts w:ascii="Times New Roman" w:hAnsi="Times New Roman" w:eastAsia="Times New Roman" w:cs="Times New Roman"/>
          <w:color w:val="000000"/>
          <w:kern w:val="0"/>
          <w:sz w:val="24"/>
          <w:szCs w:val="24"/>
          <w:lang w:eastAsia="en-GB"/>
          <w14:ligatures w14:val="none"/>
        </w:rPr>
        <w:br/>
        <w:t>An Observer is realised NTO.</w:t>
      </w:r>
      <w:r w:rsidRPr="00565BC1">
        <w:rPr>
          <w:rFonts w:ascii="Times New Roman" w:hAnsi="Times New Roman" w:eastAsia="Times New Roman" w:cs="Times New Roman"/>
          <w:color w:val="000000"/>
          <w:kern w:val="0"/>
          <w:sz w:val="24"/>
          <w:szCs w:val="24"/>
          <w:lang w:eastAsia="en-GB"/>
          <w14:ligatures w14:val="none"/>
        </w:rPr>
        <w:br/>
        <w:t>Observation gives record-provenance, not automatic warrant.</w:t>
      </w:r>
      <w:r w:rsidRPr="00565BC1">
        <w:rPr>
          <w:rFonts w:ascii="Times New Roman" w:hAnsi="Times New Roman" w:eastAsia="Times New Roman" w:cs="Times New Roman"/>
          <w:color w:val="000000"/>
          <w:kern w:val="0"/>
          <w:sz w:val="24"/>
          <w:szCs w:val="24"/>
          <w:lang w:eastAsia="en-GB"/>
          <w14:ligatures w14:val="none"/>
        </w:rPr>
        <w:br/>
      </w:r>
      <w:r w:rsidR="004E2F51" w:rsidRPr="004E2F51">
        <w:rPr>
          <w:rFonts w:ascii="Times New Roman" w:hAnsi="Times New Roman" w:eastAsia="Times New Roman" w:cs="Times New Roman"/>
          <w:color w:val="000000"/>
          <w:sz w:val="24"/>
          <w:szCs w:val="24"/>
        </w:rPr>
        <w:t>The observer does not possess reality whole.</w:t>
      </w:r>
      <w:r w:rsidR="004E2F51" w:rsidRPr="004E2F51">
        <w:rPr>
          <w:rFonts w:ascii="Times New Roman" w:hAnsi="Times New Roman" w:eastAsia="Times New Roman" w:cs="Times New Roman"/>
          <w:color w:val="000000"/>
          <w:sz w:val="24"/>
          <w:szCs w:val="24"/>
        </w:rPr>
        <w:br/>
        <w:t>The Observer Event Horizon marks the ingress-limit of observable relation.</w:t>
      </w:r>
      <w:r w:rsidR="004E2F51" w:rsidRPr="004E2F51">
        <w:rPr>
          <w:rFonts w:ascii="Times New Roman" w:hAnsi="Times New Roman" w:eastAsia="Times New Roman" w:cs="Times New Roman"/>
          <w:color w:val="000000"/>
          <w:sz w:val="24"/>
          <w:szCs w:val="24"/>
        </w:rPr>
        <w:br/>
        <w:t>The observer registers relation through bounded accessibility.</w:t>
      </w:r>
    </w:p>
    <w:p>
      <w:pPr>
        <w:pStyle w:val="GOTSeparator"/>
        <w:keepNext/>
        <w:keepLines/>
        <w:pageBreakBefore w:val="0"/>
        <w:widowControl/>
        <w:spacing w:before="480" w:after="480" w:lineRule="exact" w:line="20"/>
      </w:pPr>
    </w:p>
    <w:p w14:paraId="003C4ADC" w14:textId="77777777" w:rsidR="00565BC1" w:rsidRPr="00CD5E9F" w:rsidRDefault="00565BC1" w:rsidP="00CD5E9F">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1. Observation as bounded registration</w:t>
      </w:r>
    </w:p>
    <w:p w14:paraId="241080A9"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1.1. The problem after Intelligence</w:t>
      </w:r>
    </w:p>
    <w:p w14:paraId="2824A9B7"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previous paper defined intelligence as applied distinction. A system, subsystem, organism, artefact-system, institution, or coupled arrangement exhibits intelligence when distinction-conditioned organisation alters downstream trajectory selection for a locus under specified reference conditions.</w:t>
      </w:r>
    </w:p>
    <w:p w14:paraId="218F9CEF"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That definition solved the application problem. It did not yet solve the observation problem.</w:t>
      </w:r>
    </w:p>
    <w:p w14:paraId="1D84534B"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system may apply distinction without observing in the relevant sense. A pathway may regulate without producing a retained observation record. A body may act on habit without registering a new bounded record. A machine may classify input without making its registration pathway transparent. An institution may apply a rule while leaving the underlying relation unobserved. A tool may participate in intelligence without itself being an observer-locus. A signal may alter downstream state without producing a persistent observation record.</w:t>
      </w:r>
    </w:p>
    <w:p w14:paraId="787C2F3F"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Application is not observation.</w:t>
      </w:r>
    </w:p>
    <w:p w14:paraId="4F2D7D45"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observation question begins when difference is registered through a bounded interface into retained record. The question is not merely whether something affected something else, whether a signal arrived, whether a system changed state, or whether an external analyst can later interpret the result. The question is whether an available distinction was registered through a bounded locus-interface-regime into a retained record, and whether that retained record is merely present, groundedly deployable, or actually redeployed.</w:t>
      </w:r>
    </w:p>
    <w:p w14:paraId="1F2BA3CC"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governing sequence is now:</w:t>
      </w:r>
    </w:p>
    <w:p w14:paraId="683799E1"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Within the inherited RRP architecture, information for a locus is operational distinction under specified reference conditions.</w:t>
      </w:r>
      <w:r w:rsidRPr="00565BC1">
        <w:rPr>
          <w:rFonts w:ascii="Times New Roman" w:hAnsi="Times New Roman" w:eastAsia="Times New Roman" w:cs="Times New Roman"/>
          <w:color w:val="000000"/>
          <w:kern w:val="0"/>
          <w:sz w:val="24"/>
          <w:szCs w:val="24"/>
          <w:lang w:eastAsia="en-GB"/>
          <w14:ligatures w14:val="none"/>
        </w:rPr>
        <w:br/>
        <w:t>Signal is preserved contrast.</w:t>
      </w:r>
      <w:r w:rsidRPr="00565BC1">
        <w:rPr>
          <w:rFonts w:ascii="Times New Roman" w:hAnsi="Times New Roman" w:eastAsia="Times New Roman" w:cs="Times New Roman"/>
          <w:color w:val="000000"/>
          <w:kern w:val="0"/>
          <w:sz w:val="24"/>
          <w:szCs w:val="24"/>
          <w:lang w:eastAsia="en-GB"/>
          <w14:ligatures w14:val="none"/>
        </w:rPr>
        <w:br/>
        <w:t>Knowledge is retained distinction.</w:t>
      </w:r>
      <w:r w:rsidRPr="00565BC1">
        <w:rPr>
          <w:rFonts w:ascii="Times New Roman" w:hAnsi="Times New Roman" w:eastAsia="Times New Roman" w:cs="Times New Roman"/>
          <w:color w:val="000000"/>
          <w:kern w:val="0"/>
          <w:sz w:val="24"/>
          <w:szCs w:val="24"/>
          <w:lang w:eastAsia="en-GB"/>
          <w14:ligatures w14:val="none"/>
        </w:rPr>
        <w:br/>
        <w:t>Intelligence is applied distinction.</w:t>
      </w:r>
      <w:r w:rsidRPr="00565BC1">
        <w:rPr>
          <w:rFonts w:ascii="Times New Roman" w:hAnsi="Times New Roman" w:eastAsia="Times New Roman" w:cs="Times New Roman"/>
          <w:color w:val="000000"/>
          <w:kern w:val="0"/>
          <w:sz w:val="24"/>
          <w:szCs w:val="24"/>
          <w:lang w:eastAsia="en-GB"/>
          <w14:ligatures w14:val="none"/>
        </w:rPr>
        <w:br/>
        <w:t>Observation is bounded registration.</w:t>
      </w:r>
    </w:p>
    <w:p w14:paraId="38174599"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This sequence prevents observation from being used as a vague synonym for awareness, perception, measurement, evidence, persistent physical effect, coupling, memory, knowledge, intelligence, or truth.</w:t>
      </w:r>
    </w:p>
    <w:p w14:paraId="6FD5D7E5" w14:textId="77777777" w:rsidR="00565BC1" w:rsidRPr="00565BC1"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1.2. Observation is bounded registration</w:t>
      </w:r>
    </w:p>
    <w:p w14:paraId="79C859CF"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core claim is simple:</w:t>
      </w:r>
    </w:p>
    <w:p w14:paraId="162A5084"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Observation is bounded registration.</w:t>
      </w:r>
    </w:p>
    <w:p w14:paraId="705F843C"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system observes, in the minimal observation-facet sense, when an OP-supported alternative becomes selected through OR into an OA-keyed RAS under specified reference conditions.</w:t>
      </w:r>
    </w:p>
    <w:p w14:paraId="60C2196B" w14:textId="77777777" w:rsidR="004E2F51" w:rsidRPr="004E2F51" w:rsidRDefault="004E2F5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E2F51">
        <w:rPr>
          <w:rFonts w:ascii="Times New Roman" w:hAnsi="Times New Roman" w:eastAsia="Times New Roman" w:cs="Times New Roman"/>
          <w:color w:val="000000"/>
          <w:sz w:val="24"/>
          <w:szCs w:val="24"/>
        </w:rPr>
        <w:t>The word bounded carries the burden. Observation does not occur from nowhere. It occurs for a locus, through an interface, across a boundary, at a scale, over a horizon, under a discrimination/noise regime, through an abstraction regime, into a retained state, and possibly through a later redeployment pathway. Paper 1a named the upstream ingress-boundary of such access the Locus Event Horizon: the limit beyond which external difference cannot become signal-bearing contrast capable of entering OP for the locus under the present regime. In the observation facet, the same inherited limit can be called the Observer Event Horizon where the locus under evaluation is an observer-locus or Observer. The observer does not receive total reality. It registers relation only where difference has crossed into bounded availability.</w:t>
      </w:r>
    </w:p>
    <w:p w14:paraId="6D7386BC" w14:textId="6D6898FD"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That relation may be real. It may be stable, repeatable, calibrated, powerful, corrigible, and widely exportable. But it is not unbounded possession of what it concerns.</w:t>
      </w:r>
    </w:p>
    <w:p w14:paraId="0404D149"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thermometer does not possess the full thermal state of a system. It registers a relation between a thermal regime and an instrument state under contact, material design, calibration, scale, and readout conditions.</w:t>
      </w:r>
    </w:p>
    <w:p w14:paraId="47DDA214"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photograph does not possess the event it records. It registers light-mediated relation under lens, angle, exposure, sensor, surface, processing, and retention conditions.</w:t>
      </w:r>
    </w:p>
    <w:p w14:paraId="1C9FBAD3"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biological receptor does not possess the molecular environment. It registers only those molecular distinctions made available by binding architecture, boundary conditions, concentration regime, and pathway thresholds.</w:t>
      </w:r>
    </w:p>
    <w:p w14:paraId="36CEF729"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scientific instrument does not escape boundedness by becoming technical. It substitutes a disciplined, explicit, calibrated cut for an unaided one.</w:t>
      </w:r>
    </w:p>
    <w:p w14:paraId="3CECB6D0"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legal record does not contain the full social event. It registers a procedurally classed relation under evidence, admissibility, personhood, responsibility, harm, remedy, and institutional authority conditions.</w:t>
      </w:r>
    </w:p>
    <w:p w14:paraId="602E1803"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In each case, observation is real enough to matter and bounded enough to require discipline. Observation is therefore neither naïve possession nor arbitrary construction. It is relational registration under constraint.</w:t>
      </w:r>
      <w:r>
        <w:rPr>
          <w:rStyle w:val="EndnoteReference"/>
          <w:rFonts w:ascii="Times New Roman" w:hAnsi="Times New Roman" w:eastAsia="Times New Roman" w:cs="Times New Roman"/>
          <w:color w:val="000000"/>
          <w:sz w:val="20"/>
          <w:szCs w:val="20"/>
          <w:vertAlign w:val="superscript"/>
        </w:rPr>
        <w:endnoteReference w:id="1"/>
      </w:r>
    </w:p>
    <w:p w14:paraId="635C0BBF"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1.3. Observation is not a certificate</w:t>
      </w:r>
    </w:p>
    <w:p w14:paraId="5D3B845D"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Ordinary use often treats observation as a certificate. To say that something has been observed is often taken to mean that it has been secured by the world itself, as if the act of observation automatically moves a claim beyond inference, model, interpretation, abstraction, theory, or uncertainty.</w:t>
      </w:r>
    </w:p>
    <w:p w14:paraId="4F51C5CA"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That use is too coarse.</w:t>
      </w:r>
    </w:p>
    <w:p w14:paraId="0F1DC6B4"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Observation does not eliminate mediation. It specifies a pathway of mediation. A difference must become available. That available difference must be classed. One classed alternative must be registered. The registered state must persist if a record is claimed. The retained record must be consultable if observer-locus status is claimed. The retained record must be actually redeployed under comparator-stable dependence if Observer-status is claimed.</w:t>
      </w:r>
    </w:p>
    <w:p w14:paraId="045CA596"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word “observed” does not by itself establish any of this. It can hide the very pathway that needs to be audited.</w:t>
      </w:r>
    </w:p>
    <w:p w14:paraId="714915D3"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signal may have been detected but not retained. A measurement may have produced a number but through a miscalibrated scale. A record may exist but be unreadable. A data point may be retained but detached from its generating conditions. A witness report may preserve a real relation while compressing, omitting, or misclassifying crucial features. An instrument output may be precise but scalar-misfit. A model readout may be stable but abstraction-bound in the wrong way.</w:t>
      </w:r>
    </w:p>
    <w:p w14:paraId="1BD7318C"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Observation gives record-provenance. It does not automatically give truth, warrant, objectivity, or adequacy. Those stronger statuses depend on later correction architecture: abstraction discipline, scale discipline, comparator discipline, calibration, residual tracking, repeatability, error analysis, and correction of perspective.</w:t>
      </w:r>
      <w:r>
        <w:rPr>
          <w:rStyle w:val="EndnoteReference"/>
          <w:rFonts w:ascii="Times New Roman" w:hAnsi="Times New Roman" w:eastAsia="Times New Roman" w:cs="Times New Roman"/>
          <w:color w:val="000000"/>
          <w:sz w:val="20"/>
          <w:szCs w:val="20"/>
          <w:vertAlign w:val="superscript"/>
        </w:rPr>
        <w:endnoteReference w:id="2"/>
      </w:r>
    </w:p>
    <w:p w14:paraId="29947EEF"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present paper therefore disciplines observation before it becomes a warrant-word. To say “observed” should mean that a bounded registration pathway has produced a retained record of an available distinction under specified reference conditions. Where stronger claims are made, the stronger pathway must be shown.</w:t>
      </w:r>
    </w:p>
    <w:p w14:paraId="40D65DB5"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1.4. The observation event is OR</w:t>
      </w:r>
    </w:p>
    <w:p w14:paraId="7AD5BC25"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observation event is Ontic Registration.</w:t>
      </w:r>
    </w:p>
    <w:p w14:paraId="749FDE02"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OR is the event by which one OP-supported, OA-classed alternative becomes selected into state under specified reference conditions. This is the event-level meaning of observation.</w:t>
      </w:r>
    </w:p>
    <w:p w14:paraId="3414FB9F"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physical difference may exist without becoming OP. It may never reach the relevant interface. It may be below threshold, outside range, masked by noise, unavailable at the operative scale, or inaccessible to the locus.</w:t>
      </w:r>
    </w:p>
    <w:p w14:paraId="2405D735"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An OP-supported difference may exist without being classed by OA. A contrast may be available but not partitioned into registerable alternatives. It may remain diffuse, ambiguous, unstable, unthresholded, or unclassed.</w:t>
      </w:r>
    </w:p>
    <w:p w14:paraId="0F1DDAEF"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An OA-classed alternative may exist without OR. Alternatives may be classable in principle without one becoming selected into state.</w:t>
      </w:r>
    </w:p>
    <w:p w14:paraId="0764ABAA"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OR occurs only when one classed alternative becomes actual as registered state. This is why observation is not mere interaction. A perturbation may alter a system without selecting an OP-supported alternative through an OA regime. A coupling may transmit force, energy, matter, or influence without producing a registered distinction. A state may change because of lawful physical dynamics without becoming an observation event.</w:t>
      </w:r>
    </w:p>
    <w:p w14:paraId="3C1A4C02"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observation event requires registration. This does not mean consciousness. A system need not know that it observes. It need not interpret semantically. It need not reflect, report, judge, describe, or believe. But it must register. The event must select one classed alternative into state. That selection is OR.</w:t>
      </w:r>
    </w:p>
    <w:p w14:paraId="57E2CBDB"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1.5. The observation record is RAS</w:t>
      </w:r>
    </w:p>
    <w:p w14:paraId="32B37650"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observation record is Registered Abstraction State.</w:t>
      </w:r>
    </w:p>
    <w:p w14:paraId="29CEA82A"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RAS is the OA-keyed retained token-state produced by OR from an OP-supported contrast field at a specified RRP, persisting over an operational horizon at a reference scale. This is the record-level meaning of observation.</w:t>
      </w:r>
    </w:p>
    <w:p w14:paraId="78162992"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An observation event may occur without yielding a durable record. A transient registration may select a state and vanish below the operational horizon. A receptor may bind and release. A voltage may cross threshold and decay. A sound may be heard and forgotten. A sensor may detect but fail to store. A measurement may be made but not inscribed. A system may respond without retaining a re-identifiable token.</w:t>
      </w:r>
    </w:p>
    <w:p w14:paraId="0545CFD6"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Such cases may involve coupling, signal reception, or transient registration. They do not yet satisfy record-presence. A record requires persistence. The retained state must remain identifiable as the result of a classed registration over the operational horizon relevant to the claim. It need not persist forever. It need only persist long enough to function as the retained observation record under the stated reference conditions.</w:t>
      </w:r>
    </w:p>
    <w:p w14:paraId="6242F9B7"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This is why RAS is central to observation. Without RAS, observation collapses into transient event-language. With RAS, observation becomes record-bearing.</w:t>
      </w:r>
    </w:p>
    <w:p w14:paraId="3E72CB6E"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But even RAS is not the whole story. A record may exist without being consultable. A consultable record may remain unused. A used record may fail to make a comparator-stable downstream difference. The paper therefore requires status distinctions.</w:t>
      </w:r>
    </w:p>
    <w:p w14:paraId="54F30EA8"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observation event is OR.</w:t>
      </w:r>
      <w:r w:rsidRPr="00565BC1">
        <w:rPr>
          <w:rFonts w:ascii="Times New Roman" w:hAnsi="Times New Roman" w:eastAsia="Times New Roman" w:cs="Times New Roman"/>
          <w:color w:val="000000"/>
          <w:kern w:val="0"/>
          <w:sz w:val="24"/>
          <w:szCs w:val="24"/>
          <w:lang w:eastAsia="en-GB"/>
          <w14:ligatures w14:val="none"/>
        </w:rPr>
        <w:br/>
        <w:t>The observation record is RAS.</w:t>
      </w:r>
      <w:r w:rsidRPr="00565BC1">
        <w:rPr>
          <w:rFonts w:ascii="Times New Roman" w:hAnsi="Times New Roman" w:eastAsia="Times New Roman" w:cs="Times New Roman"/>
          <w:color w:val="000000"/>
          <w:kern w:val="0"/>
          <w:sz w:val="24"/>
          <w:szCs w:val="24"/>
          <w:lang w:eastAsia="en-GB"/>
          <w14:ligatures w14:val="none"/>
        </w:rPr>
        <w:br/>
        <w:t>Strong observation requires RSD.</w:t>
      </w:r>
    </w:p>
    <w:p w14:paraId="0B8618C1"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1.6. The observer does not possess reality whole</w:t>
      </w:r>
    </w:p>
    <w:p w14:paraId="65F215C0" w14:textId="77777777" w:rsidR="0099211C" w:rsidRDefault="0099211C" w:rsidP="0099211C">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The observation paper is where the relational access principle becomes observer-specific.</w:t>
      </w:r>
    </w:p>
    <w:p w14:paraId="13396648" w14:textId="77777777" w:rsidR="0099211C" w:rsidRDefault="0099211C" w:rsidP="0099211C">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finite observer does not possess reality as total state. It registers relation through the conditions of its own bounded accessibility. The Observer Event Horizon names the upstream limit of that accessibility: not the edge of what exists, but the edge at which difference can enter the observer’s locus-interface-regime as available contrast.</w:t>
      </w:r>
    </w:p>
    <w:p w14:paraId="1C15917B" w14:textId="77777777" w:rsidR="0099211C" w:rsidRDefault="0099211C" w:rsidP="0099211C">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This is not a denial of reality. It is a denial of unbounded possession. Reality constrains the registration pathway. A contrast either reaches an interface or it does not. A channel either preserves a distinction above the relevant noise regime or it does not. An abstraction either preserves the relevant relation or collapses it. A registration event either occurs or fails. A retained state either persists over the operational horizon or degrades. A redeployment pathway either makes later transition depend on the retained record or it does not. A comparator either exposes dependence or shows that the record was not doing the claimed work.</w:t>
      </w:r>
    </w:p>
    <w:p w14:paraId="05415477" w14:textId="77777777" w:rsid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observer cannot invent all this by perspective alone. But neither does the observer receive the real whole. It receives through boundary, interface, channel, threshold, scale, abstraction, registration, retention, and redeployment where stronger observation is realised.</w:t>
      </w:r>
    </w:p>
    <w:p w14:paraId="780CACFC" w14:textId="6793B37D" w:rsidR="004E2F51" w:rsidRPr="004E2F51" w:rsidRDefault="004E2F5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4E2F51">
        <w:rPr>
          <w:rFonts w:ascii="Times New Roman" w:hAnsi="Times New Roman" w:eastAsia="Times New Roman" w:cs="Times New Roman"/>
          <w:color w:val="000000"/>
          <w:sz w:val="24"/>
          <w:szCs w:val="24"/>
        </w:rPr>
        <w:t>The Observer Event Horizon is the aggregate form of this constraint. It is shaped by physical coupling, distance, latency, medium, channel, threshold, scale, noise, filter, abstraction, interface, and record-pathway conditions. A new instrument, sensor, relay, social procedure, measurement regime, or computational interface may extend the horizon, but only by changing what can reach the observer as signal-bearing contrast. No extension removes boundedness itself. It only relocates the boundary of possible incoming relation.</w:t>
      </w:r>
    </w:p>
    <w:p w14:paraId="3652139A"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observation record is therefore neither world itself nor mere fiction. It is bounded relation retained as state.</w:t>
      </w:r>
    </w:p>
    <w:p w14:paraId="05C6C188"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This is the realist guardrail of the observation paper: the real constrains observation, and the observer bounds registration. Objectivity will later consist not in escaping boundedness, but in disciplining it.</w:t>
      </w:r>
    </w:p>
    <w:p>
      <w:pPr>
        <w:pStyle w:val="GOTSeparator"/>
        <w:keepNext/>
        <w:keepLines/>
        <w:pageBreakBefore w:val="0"/>
        <w:widowControl/>
        <w:spacing w:before="480" w:after="480" w:lineRule="exact" w:line="20"/>
      </w:pPr>
    </w:p>
    <w:p w14:paraId="2450B5CB" w14:textId="77777777" w:rsidR="00565BC1" w:rsidRPr="00CD5E9F" w:rsidRDefault="00565BC1" w:rsidP="00CD5E9F">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2. Inherited architecture, not new mechanism</w:t>
      </w:r>
    </w:p>
    <w:p w14:paraId="475AE76A"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2.1. What this paper inherits</w:t>
      </w:r>
    </w:p>
    <w:p w14:paraId="056CAFF8"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This paper does not introduce a new primitive. It inherits the registration-relay architecture already established.</w:t>
      </w:r>
    </w:p>
    <w:p w14:paraId="35A76422"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From Paper 1, it inherits RRP and the RRP Set. RRP fixes the reference conditions under which distinction evaluation becomes well-posed. OP supplies available contrast. OA classes available contrast. OR registers one classed alternative into state. RAS retains the registered distinction. RSD redeploys retained distinction into later branch-realisation.</w:t>
      </w:r>
    </w:p>
    <w:p w14:paraId="71B9382D" w14:textId="77777777" w:rsid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From Paper 1a, it inherits signal as the physical pathway of availability. Signal is preserved contrast through which relation may become available. Signal-bearing contrast may become OP where it reaches a locus-interface-regime as available distinction.</w:t>
      </w:r>
    </w:p>
    <w:p w14:paraId="0BA9C4EB" w14:textId="35C5F4CE" w:rsidR="0099211C" w:rsidRPr="0099211C" w:rsidRDefault="0099211C"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99211C">
        <w:rPr>
          <w:rFonts w:ascii="Times New Roman" w:hAnsi="Times New Roman" w:eastAsia="Times New Roman" w:cs="Times New Roman"/>
          <w:color w:val="000000"/>
          <w:sz w:val="24"/>
          <w:szCs w:val="24"/>
        </w:rPr>
        <w:t>From Paper 1</w:t>
      </w:r>
      <w:r>
        <w:rPr>
          <w:rFonts w:ascii="Times New Roman" w:hAnsi="Times New Roman" w:eastAsia="Times New Roman" w:cs="Times New Roman"/>
          <w:color w:val="000000"/>
          <w:sz w:val="24"/>
          <w:szCs w:val="24"/>
        </w:rPr>
        <w:t>b</w:t>
      </w:r>
      <w:r w:rsidRPr="0099211C">
        <w:rPr>
          <w:rFonts w:ascii="Times New Roman" w:hAnsi="Times New Roman" w:eastAsia="Times New Roman" w:cs="Times New Roman"/>
          <w:color w:val="000000"/>
          <w:sz w:val="24"/>
          <w:szCs w:val="24"/>
        </w:rPr>
        <w:t>, it inherits the realism-facing guardrail. Finite access does not possess the target whole. It forms indexed, corrigible records or models of target relations under boundary, interface, scale, horizon, abstraction, registration, retention, comparator pressure, and residual discipline.</w:t>
      </w:r>
    </w:p>
    <w:p w14:paraId="69AD0FA8"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From Paper 2, it inherits retained distinction. Knowledge is the status of distinction when it persists as present accessible state. RAS is the canonical carrier of minimal knowledge.</w:t>
      </w:r>
    </w:p>
    <w:p w14:paraId="2F3E7CDE"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From Paper 3, it inherits applied distinction. Intelligence appears where distinction-conditioned organisation alters downstream trajectory selection for a locus.</w:t>
      </w:r>
    </w:p>
    <w:p w14:paraId="0B492C84"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Paper 4 asks a different question. What happens when distinction is registered through a bounded interface as retained record?</w:t>
      </w:r>
    </w:p>
    <w:p w14:paraId="113D6B98"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answer does not require replacing the architecture. It requires translating the architecture into the observation facet. Under the knowledge facet, the explanatory emphasis is retention. Under the intelligence facet, the explanatory emphasis is application. Under the observation facet, the explanatory emphasis is bounded registration and record-provenance.</w:t>
      </w:r>
    </w:p>
    <w:p w14:paraId="7C555D10"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mechanism does not multiply. The facet changes.</w:t>
      </w:r>
    </w:p>
    <w:p w14:paraId="71E02D83"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2.2. RRP fixes observation evaluability</w:t>
      </w:r>
    </w:p>
    <w:p w14:paraId="403F00C9"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An observation claim is RRP-indexed.</w:t>
      </w:r>
    </w:p>
    <w:p w14:paraId="4C0E0525"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This means that the relevant locus, boundary, interface, reference scale, operational horizon, discrimination/noise regime, OP contrast field, OA abstraction regime, OR event, RAS persistence, RSD pathway, and comparator family must be specified strongly enough for the claim being made.</w:t>
      </w:r>
    </w:p>
    <w:p w14:paraId="50E84C62"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RRP does not make observation true. It makes observation evaluable.</w:t>
      </w:r>
    </w:p>
    <w:p w14:paraId="7AC733AC"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Without RRP discipline, observation-language drifts. A signal may be available to one instrument and unavailable to another. A record may persist for one horizon and fail for another. A distinction may be stable at one scale and collapse at another. A retained state may be present for a subsystem and inert for the larger organisation. A readout may be valid inside an apparatus and misleading when exported to a broader claim.</w:t>
      </w:r>
    </w:p>
    <w:p w14:paraId="47165927"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Observation is not universal merely because a record exists somewhere. The question is always: observation for what locus, through what interface, at what scale, over what horizon, under what discrimination regime, through what abstraction, registered by what event, retained as what state, deployable through what pathway, and made consequential under what comparator?</w:t>
      </w:r>
    </w:p>
    <w:p w14:paraId="3F66F6D3"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These questions prevent observation from becoming an unindexed warrant-word. They also prevent external interpretation from replacing the system’s own registration pathway.</w:t>
      </w:r>
    </w:p>
    <w:p w14:paraId="6C17C555"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An external analyst may observe a system. That does not mean the system observed the same relation. A laboratory may register contrast from a molecular alteration or physical residue. That does not mean the molecule observed. A historian may interpret an archive. That does not mean the archive is an Observer. A machine may store logs. That does not mean every log is part of a realised observation episode.</w:t>
      </w:r>
    </w:p>
    <w:p w14:paraId="66FA2F0F"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RRP fixes the “for whom,” “through what,” and “under what conditions” of observation.</w:t>
      </w:r>
    </w:p>
    <w:p w14:paraId="26EC42EB"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2.3. OP, OA, OR, RAS, and RSD in the observation facet</w:t>
      </w:r>
    </w:p>
    <w:p w14:paraId="50CFFD7F"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observation facet inherits the RRP Set, but each element receives an observation-facing role.</w:t>
      </w:r>
    </w:p>
    <w:p w14:paraId="563CDFF4"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OP supplies the available contrast field. In observation, OP is the field of possible differences available to the locus through a bounded interface. Without OP, there is nothing available to observe. A difference may exist, but if it does not become available to the locus, it cannot be observed by that locus.</w:t>
      </w:r>
    </w:p>
    <w:p w14:paraId="78688647"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OA supplies the abstraction regime. In observation, OA determines which OP-supported differences can become registerable alternatives. It partitions available contrast into same, different, relevant, irrelevant, signal, noise, present, absent, within tolerance, outside tolerance, or other operative classes. Without OA, there is no observation token.</w:t>
      </w:r>
    </w:p>
    <w:p w14:paraId="5CF44E8C"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OR supplies the observation event. One OP-supported, OA-classed alternative is selected into state. Without OR, there is no event of observation.</w:t>
      </w:r>
    </w:p>
    <w:p w14:paraId="23763B56"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RAS supplies the observation record. The OR-produced state persists as an OA-keyed token over the relevant operational horizon. Without RAS, there may have been transient registration, but no record-present observation.</w:t>
      </w:r>
    </w:p>
    <w:p w14:paraId="09CF09FE"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RSD supplies realised consult-and-register redeployment. A prior RAS becomes operative in later registration, transition, inference, action, control, or downstream outcome selection. Without RSD, the record may remain present or deployable, but realised record-operativity has not been shown.</w:t>
      </w:r>
    </w:p>
    <w:p w14:paraId="66BF0E24"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observation stack can therefore be compressed:</w:t>
      </w:r>
    </w:p>
    <w:p w14:paraId="4A8E761C"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OP makes observation available.</w:t>
      </w:r>
      <w:r w:rsidRPr="00565BC1">
        <w:rPr>
          <w:rFonts w:ascii="Times New Roman" w:hAnsi="Times New Roman" w:eastAsia="Times New Roman" w:cs="Times New Roman"/>
          <w:color w:val="000000"/>
          <w:kern w:val="0"/>
          <w:sz w:val="24"/>
          <w:szCs w:val="24"/>
          <w:lang w:eastAsia="en-GB"/>
          <w14:ligatures w14:val="none"/>
        </w:rPr>
        <w:br/>
        <w:t>OA makes observation classable.</w:t>
      </w:r>
      <w:r w:rsidRPr="00565BC1">
        <w:rPr>
          <w:rFonts w:ascii="Times New Roman" w:hAnsi="Times New Roman" w:eastAsia="Times New Roman" w:cs="Times New Roman"/>
          <w:color w:val="000000"/>
          <w:kern w:val="0"/>
          <w:sz w:val="24"/>
          <w:szCs w:val="24"/>
          <w:lang w:eastAsia="en-GB"/>
          <w14:ligatures w14:val="none"/>
        </w:rPr>
        <w:br/>
        <w:t>OR makes observation occur.</w:t>
      </w:r>
      <w:r w:rsidRPr="00565BC1">
        <w:rPr>
          <w:rFonts w:ascii="Times New Roman" w:hAnsi="Times New Roman" w:eastAsia="Times New Roman" w:cs="Times New Roman"/>
          <w:color w:val="000000"/>
          <w:kern w:val="0"/>
          <w:sz w:val="24"/>
          <w:szCs w:val="24"/>
          <w:lang w:eastAsia="en-GB"/>
          <w14:ligatures w14:val="none"/>
        </w:rPr>
        <w:br/>
        <w:t>RAS makes observation retained.</w:t>
      </w:r>
      <w:r w:rsidRPr="00565BC1">
        <w:rPr>
          <w:rFonts w:ascii="Times New Roman" w:hAnsi="Times New Roman" w:eastAsia="Times New Roman" w:cs="Times New Roman"/>
          <w:color w:val="000000"/>
          <w:kern w:val="0"/>
          <w:sz w:val="24"/>
          <w:szCs w:val="24"/>
          <w:lang w:eastAsia="en-GB"/>
          <w14:ligatures w14:val="none"/>
        </w:rPr>
        <w:br/>
        <w:t>RSD makes observation operative.</w:t>
      </w:r>
    </w:p>
    <w:p w14:paraId="5655F3C0"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sequence is not always temporally simple in complex systems. Mature observers may inherit abstraction regimes, records, instruments, calibration pathways, models, institutional forms, and prior RSD chains. A scientific observation may involve many nested registrations. A biological observer may combine sensory, metabolic, motor, and memory pathways. A technical observer may distribute registration across sensors, buffers, models, records, and control systems.</w:t>
      </w:r>
    </w:p>
    <w:p w14:paraId="3A74F5F3"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complexity of the pathway does not remove the primitive distinctions. It increases the need for them.</w:t>
      </w:r>
    </w:p>
    <w:p w14:paraId="340C4604"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2.4. BD and IPL as comparator and localisation discipline</w:t>
      </w:r>
    </w:p>
    <w:p w14:paraId="55E6E004"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Baseline Dynamics remains the comparator discipline.</w:t>
      </w:r>
    </w:p>
    <w:p w14:paraId="152CEE1F"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record is not non-trivial merely because it exists. A retained state is not operative merely because an external analyst can interpret it. A system is not an Observer merely because it produces persistent physical effects, stores data, or participates in a larger observation process.</w:t>
      </w:r>
    </w:p>
    <w:p w14:paraId="77B7C79E"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strong observation claim requires comparator pressure. The relevant question is whether later registration, transition, inference, action, control, or downstream outcome selection depends counterfactually on which retained discriminator was present.</w:t>
      </w:r>
    </w:p>
    <w:p w14:paraId="6071E69E"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An adequate comparator preserves the relevant boundary context, driving, component inventory, reference scale, operational horizon, and discrimination/noise regime while disabling, scrambling, neutralising, resetting, bypass-controlling, or otherwise varying the claimed observation pathway. If downstream outcomes remain unchanged when the proposed RAS-conditioned pathway is removed or bypassed, the NTO claim fails or must be weakened. If dependence collapses, degrades, or changes in the expected way, the NTO claim gains support.</w:t>
      </w:r>
    </w:p>
    <w:p w14:paraId="0CA91CBC"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Information Processing Locus remains the localisation discipline. In the observation facet, IPL asks where the relevant registration occurs, where the retained state persists, where consultability is supported, where RSD could occur, where RSD actually occurs, and what organisation must remain intact for downstream dependence to hold.</w:t>
      </w:r>
    </w:p>
    <w:p w14:paraId="4EC009E6"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This prevents observation from drifting into the wrong bearer. The observing locus may not be the first named object. It may be a subsystem, instrument, organism, coupled arrangement, institutional procedure, technical pipeline, or distributed organisation. But it must be localisable enough that registration, retention, consultability, and realised redeployment can be attributed without hand-waving.</w:t>
      </w:r>
    </w:p>
    <w:p w14:paraId="38489FD6"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No localisation, no strong observer-status.</w:t>
      </w:r>
    </w:p>
    <w:p w14:paraId="5528A211"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2.5. Facet alignment</w:t>
      </w:r>
    </w:p>
    <w:p w14:paraId="12DE5167"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observation ladder introduces no new primitive.</w:t>
      </w:r>
    </w:p>
    <w:p w14:paraId="75E58D1E"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series uses a shared registration-relay architecture across knowledge, intelligence, computation, and observation. The same underlying architecture is being examined under different explanatory emphases.</w:t>
      </w:r>
    </w:p>
    <w:p w14:paraId="0263BAA7"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Under the knowledge facet, the emphasis is retained distinction. Under the intelligence facet, the emphasis is applied distinction. Under the computation facet, the emphasis is physically enacted discriminator dependence. Under the observation facet, the emphasis is bounded registration and record-provenance.</w:t>
      </w:r>
    </w:p>
    <w:p w14:paraId="46FC4ACB"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This is why the non-trivial condition should not be multiplied into separate mechanisms. When the emphasis is computation, the realised condition is Non-Trivial Computation. When the emphasis is knowledge, it is Non-Trivial Knowledge. When the emphasis is intelligence, it is Non-Trivial Intelligence. When the emphasis is observation, it is Non-Trivial Observation.</w:t>
      </w:r>
    </w:p>
    <w:p w14:paraId="57CE3B71"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In the observation facet, NTO is the realised record-operative condition. A retained OA-keyed discriminator is redeployed through RSD so that later registration or downstream transition depends counterfactually and comparator-stably on which discriminator was present.</w:t>
      </w:r>
    </w:p>
    <w:p w14:paraId="1DCB4BE6"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label changes because the explanatory question changes. The discriminator posture does not.</w:t>
      </w:r>
    </w:p>
    <w:p w14:paraId="1B2B74F9"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This is the concept-lock: observation is not a new substance, faculty, or mental power. It is the bounded-registration facet of the same architecture.</w:t>
      </w:r>
    </w:p>
    <w:p>
      <w:pPr>
        <w:pStyle w:val="GOTSeparator"/>
        <w:keepNext/>
        <w:keepLines/>
        <w:pageBreakBefore w:val="0"/>
        <w:widowControl/>
        <w:spacing w:before="480" w:after="480" w:lineRule="exact" w:line="20"/>
      </w:pPr>
    </w:p>
    <w:p w14:paraId="60531931" w14:textId="77777777" w:rsidR="00565BC1" w:rsidRPr="00CD5E9F" w:rsidRDefault="00565BC1" w:rsidP="00CD5E9F">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3. The Observation status ladder</w:t>
      </w:r>
    </w:p>
    <w:p w14:paraId="6EFA4B6F"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3.1. Why observation needs statuses</w:t>
      </w:r>
    </w:p>
    <w:p w14:paraId="132CCAFA"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Observation cannot be treated as a single yes/no condition. Several mechanistically distinct situations are often compressed under the word “observation.”</w:t>
      </w:r>
    </w:p>
    <w:p w14:paraId="387390A5"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system may be perturbed without registering. It may register transiently without retaining. It may retain a record without being able to consult it. It may have a consultable record without actually consulting it. It may consult a record without downstream outcomes depending on which discriminator was present. It may redeploy a record in a way that survives comparator pressure.</w:t>
      </w:r>
    </w:p>
    <w:p w14:paraId="4480C9C8"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These are not the same condition.</w:t>
      </w:r>
    </w:p>
    <w:p w14:paraId="1BC9CE35"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Without status distinctions, observation-language inflates. Interaction becomes observation. Persistent physical change becomes observation. Signal reception becomes observation. Record-presence becomes Observer-status. Grounded deployability becomes realised deployment. External interpretation becomes internal registration. The observation status ladder prevents this drift.</w:t>
      </w:r>
    </w:p>
    <w:p w14:paraId="27F884D9"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local observation statuses are Pre-TO failure, Trivial Observation, Observation Inference Potential, and Non-Trivial Observation. These statuses align with the shared structural roles of record-presence, grounded deployability, and realised operativity, but Paper 4 gives them local observation names because observation has its own explanatory emphasis.</w:t>
      </w:r>
    </w:p>
    <w:p w14:paraId="040D3827"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TO is record-presence under the observation facet. OIP is grounded deployability under the observation facet. NTO is realised record-operativity under the observation facet. The ladder turns observation into an auditable status claim.</w:t>
      </w:r>
    </w:p>
    <w:p w14:paraId="0A2FCFF1"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3.2. Pre-TO failure</w:t>
      </w:r>
    </w:p>
    <w:p w14:paraId="674904A0"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Pre-TO failure occurs where observation-status has not yet reached record-presence.</w:t>
      </w:r>
    </w:p>
    <w:p w14:paraId="7743512D"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This includes at least three cases.</w:t>
      </w:r>
    </w:p>
    <w:p w14:paraId="6C8E307E"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first is coupling without tokenisation. A system is perturbed by contact, force, exchange, signal, influence, or background dynamics, but no OP-supported, OA-classed alternative is selected into state. Something happened, but not yet observation in the minimal observation-facet sense.</w:t>
      </w:r>
    </w:p>
    <w:p w14:paraId="25E74970"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second is transient registration without persistence. An OR-like event occurs, but the resulting state does not remain re-identifiable over the operational horizon. A difference registers momentarily and vanishes. There is event-like selection, but no retained observation record.</w:t>
      </w:r>
    </w:p>
    <w:p w14:paraId="34F90450"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third is external-only readability. A state can be interpreted by an outside observer, but the locus under evaluation does not support the relevant OP/OA/OR/RAS pathway. The external analyst may observe. The target locus has not thereby observed.</w:t>
      </w:r>
    </w:p>
    <w:p w14:paraId="5027347F"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Pre-TO failure is not nothing. It may include real interaction, real signal propagation, real perturbation, persistent physical alteration, or real external evidence. Such a state may later become available as OP for another locus, be registered by an instrument, or support evidential reconstruction. But it has not crossed the observation threshold for the locus under evaluation. No persistent OA-keyed RAS, no TO.</w:t>
      </w:r>
    </w:p>
    <w:p w14:paraId="601639EF"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3.3. Trivial Observation: record-presence</w:t>
      </w:r>
    </w:p>
    <w:p w14:paraId="4FB97D7C"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Trivial Observation is record-presence.</w:t>
      </w:r>
    </w:p>
    <w:p w14:paraId="1A0FDAF6"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TO is present when an OR event produces an OA-keyed RAS that remains re-identifiable over the relevant operational horizon at the reference scale.</w:t>
      </w:r>
    </w:p>
    <w:p w14:paraId="6D4FCBD5"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This is the minimal observation-status. A distinction has become available. It has been classed. One alternative has been registered. The resulting state persists as a record. No realised deployment is required.</w:t>
      </w:r>
    </w:p>
    <w:p w14:paraId="294B9AA0"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detector registering a threshold crossing into stored state may satisfy TO. A cell retaining a molecular state over a regulatory horizon may satisfy TO. An instrument producing an inscribed reading may satisfy TO. A person remembering a perceptual distinction may satisfy TO. A machine logging an input classification may satisfy TO.</w:t>
      </w:r>
    </w:p>
    <w:p w14:paraId="5477A359"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TO is trivial only in the technical sense that it does not yet require realised downstream dependence. It is not unimportant. Record-presence may be scientifically, biologically, legally, computationally, socially, or personally significant. It may become evidence. It may become knowledge. It may later support intelligence. It may later be redeployed in a strong observation chain.</w:t>
      </w:r>
    </w:p>
    <w:p w14:paraId="0CC26228"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TO answers the question: has bounded registration produced a retained record? If yes, minimal observation-status is present. If no, the case remains below observation-status or requires a weaker description.</w:t>
      </w:r>
    </w:p>
    <w:p w14:paraId="183C3D53"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3.4. Observation Inference Potential: grounded deployability</w:t>
      </w:r>
    </w:p>
    <w:p w14:paraId="5A0953BF"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Observation Inference Potential is grounded deployability.</w:t>
      </w:r>
    </w:p>
    <w:p w14:paraId="32DEA1E0"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OIP is present when a retained observation record is embedded within, or coupled to, an organisation that makes an admissible RSD pathway physically well-posed, although realised redeployment has not yet been established.</w:t>
      </w:r>
    </w:p>
    <w:p w14:paraId="21F4DFE6"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OIP is stronger than TO because the record is not merely present. It is situated in a pathway of possible consultation.</w:t>
      </w:r>
    </w:p>
    <w:p w14:paraId="4A3E4602"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 xml:space="preserve">A measurement stored in an accessible instrument archive may be OIP. A retained memory state embedded in a functioning nervous system may be OIP. A sensor record routed into a control </w:t>
      </w:r>
      <w:r w:rsidRPr="00565BC1">
        <w:rPr>
          <w:rFonts w:ascii="Times New Roman" w:hAnsi="Times New Roman" w:eastAsia="Times New Roman" w:cs="Times New Roman"/>
          <w:color w:val="000000"/>
          <w:kern w:val="0"/>
          <w:sz w:val="24"/>
          <w:szCs w:val="24"/>
          <w:lang w:eastAsia="en-GB"/>
          <w14:ligatures w14:val="none"/>
        </w:rPr>
        <w:t>architecture may be OIP. A scientific dataset with metadata, calibration, and retrieval pathways may be OIP. A legal record embedded within an institutional procedure may be OIP.</w:t>
      </w:r>
    </w:p>
    <w:p w14:paraId="52109131"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OIP does not require actual consultation. It requires grounded consultability.</w:t>
      </w:r>
    </w:p>
    <w:p w14:paraId="609EF62A"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record buried in inaccessible media may remain TO but fail OIP for a given locus. A database entry with corrupted indexing may remain stored but not deployable. A measurement without calibration metadata may remain record-present but not inferentially grounded. A fossil may preserve target-constrained physical structure without itself being an observation record or observer-locus. A scientific pathway may use contrast available through that structure to produce retained records; those records may earn OIP where they are embedded in grounded consultability pathways.</w:t>
      </w:r>
    </w:p>
    <w:p w14:paraId="4D56A2A4"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OIP is therefore not mere possibility in the abstract. It is not enough that some imagined future observer could perhaps recover the record. The deployability pathway must be physically, operationally, technically, biologically, institutionally, or organisationally well-posed under the stated conditions.</w:t>
      </w:r>
    </w:p>
    <w:p w14:paraId="0FAA5150"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OIP is the status of observation-capacity. It is the point at which observer-locus becomes appropriate.</w:t>
      </w:r>
    </w:p>
    <w:p w14:paraId="13FE147A"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3.5. Non-Trivial Observation: realised record-operativity</w:t>
      </w:r>
    </w:p>
    <w:p w14:paraId="15643875"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Non-Trivial Observation is realised record-operativity.</w:t>
      </w:r>
    </w:p>
    <w:p w14:paraId="40D69375"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NTO is present when a prior OA-keyed RAS is actually redeployed through RSD as a controlling discriminator for later registration, transition, inference, action, control, or downstream outcome selection, and when that dependence is comparator-stable relative to an admissible Baseline Dynamics family.</w:t>
      </w:r>
    </w:p>
    <w:p w14:paraId="02E3B6C4"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NTO is not merely having a record. It is not merely being able to consult a record. It is retained record doing work.</w:t>
      </w:r>
    </w:p>
    <w:p w14:paraId="74E726B6"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scientific measurement becomes NTO when it is actually redeployed to control a later inference, intervention, or registration, and the downstream result depends on which recorded discriminator was present. A thermostat-like system becomes NTO where a retained reading controls later regulation under comparator-stable dependence. A legal record becomes NTO where it is actually applied to alter procedure, decision, permission, exclusion, obligation, or sanction. A biological regulatory state becomes NTO where retained registration changes later repair, inhibition, expression, or response.</w:t>
      </w:r>
    </w:p>
    <w:p w14:paraId="62C50615"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critical condition is realised dependence. The downstream pathway must depend on which retained discriminator was present. If the same downstream result occurs when the record is removed, scrambled, bypassed, or replaced, then the NTO claim fails or weakens. If downstream dependence collapses, degrades, or changes in the expected way, the NTO claim gains support.</w:t>
      </w:r>
    </w:p>
    <w:p w14:paraId="3B874F09"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NTO is therefore the observation-facet expression of the realised non-trivial discriminator condition. It is where bounded registration becomes realised observer-dependence.</w:t>
      </w:r>
    </w:p>
    <w:p w14:paraId="50EFEC54"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3.6. Compressed ladder</w:t>
      </w:r>
    </w:p>
    <w:p w14:paraId="1F4A271D"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observation ladder can be compressed as follows:</w:t>
      </w:r>
    </w:p>
    <w:p w14:paraId="7ACB39C8"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Pre-TO failure: no persistent OA-keyed RAS.</w:t>
      </w:r>
      <w:r w:rsidRPr="00565BC1">
        <w:rPr>
          <w:rFonts w:ascii="Times New Roman" w:hAnsi="Times New Roman" w:eastAsia="Times New Roman" w:cs="Times New Roman"/>
          <w:color w:val="000000"/>
          <w:kern w:val="0"/>
          <w:sz w:val="24"/>
          <w:szCs w:val="24"/>
          <w:lang w:eastAsia="en-GB"/>
          <w14:ligatures w14:val="none"/>
        </w:rPr>
        <w:br/>
        <w:t>TO: retained observation record exists.</w:t>
      </w:r>
      <w:r w:rsidRPr="00565BC1">
        <w:rPr>
          <w:rFonts w:ascii="Times New Roman" w:hAnsi="Times New Roman" w:eastAsia="Times New Roman" w:cs="Times New Roman"/>
          <w:color w:val="000000"/>
          <w:kern w:val="0"/>
          <w:sz w:val="24"/>
          <w:szCs w:val="24"/>
          <w:lang w:eastAsia="en-GB"/>
          <w14:ligatures w14:val="none"/>
        </w:rPr>
        <w:br/>
        <w:t>OIP: retained observation record is deployable in principle.</w:t>
      </w:r>
      <w:r w:rsidRPr="00565BC1">
        <w:rPr>
          <w:rFonts w:ascii="Times New Roman" w:hAnsi="Times New Roman" w:eastAsia="Times New Roman" w:cs="Times New Roman"/>
          <w:color w:val="000000"/>
          <w:kern w:val="0"/>
          <w:sz w:val="24"/>
          <w:szCs w:val="24"/>
          <w:lang w:eastAsia="en-GB"/>
          <w14:ligatures w14:val="none"/>
        </w:rPr>
        <w:br/>
        <w:t>NTO: retained observation record is actually redeployed with comparator-stable downstream dependence.</w:t>
      </w:r>
    </w:p>
    <w:p w14:paraId="61749AFA"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More fully, Pre-TO failure occurs where there is coupling, perturbation, signal reception, transient tokenisation, or persistent physical alteration without persistent record-presence for the locus under evaluation. Trivial Observation is record-presence: an OP-supported, OA-classed alternative has been selected through OR into an OA-keyed RAS that persists over the relevant operational horizon. Observation Inference Potential is grounded deployability: the retained record is embedded within, or coupled to, an organisation that could consult it through an admissible RSD pathway. Non-Trivial Observation is realised record-operativity: the retained record is actually redeployed through RSD as a controlling discriminator for later registration or downstream transition, and the dependence is comparator-stable.</w:t>
      </w:r>
    </w:p>
    <w:p w14:paraId="516A4342"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This ladder should not be read as an obligatory temporal sequence in every case. Mature systems may register, retain, and redeploy rapidly. Composite systems may contain nested TO, OIP, and NTO relations. A record may be TO for one locus, OIP for another, and NTO within a third.</w:t>
      </w:r>
    </w:p>
    <w:p w14:paraId="74A31E07"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Status is RRP-indexed. The question is always: what observation-status does this record have for this locus, under this boundary, interface, scale, horizon, abstraction regime, deployment pathway, and comparator family?</w:t>
      </w:r>
    </w:p>
    <w:p w14:paraId="30C3F7B1"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That question is the foundation for the observer-status distinctions developed next.</w:t>
      </w:r>
    </w:p>
    <w:p>
      <w:pPr>
        <w:pStyle w:val="GOTSeparator"/>
        <w:keepNext/>
        <w:keepLines/>
        <w:pageBreakBefore w:val="0"/>
        <w:widowControl/>
        <w:spacing w:before="480" w:after="480" w:lineRule="exact" w:line="20"/>
      </w:pPr>
    </w:p>
    <w:p w14:paraId="0F90547F" w14:textId="77777777" w:rsidR="00565BC1" w:rsidRPr="00CD5E9F" w:rsidRDefault="00565BC1" w:rsidP="00CD5E9F">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4. Observer-locus and Observer</w:t>
      </w:r>
    </w:p>
    <w:p w14:paraId="2F06489B"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4.1. Observer-locus</w:t>
      </w:r>
    </w:p>
    <w:p w14:paraId="1F1C2C31"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An observer-locus is observation-capable organisation.</w:t>
      </w:r>
    </w:p>
    <w:p w14:paraId="16D80B07"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More precisely, an observer-locus is a locus, subsystem, system, artefact-system, organism, institution, instrument, technical pipeline, or coupled arrangement in which a retained observation record is embedded within, or coupled to, a physically well-posed pathway of possible redeployment.</w:t>
      </w:r>
    </w:p>
    <w:p w14:paraId="792BB9FF"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An observer-locus is therefore OIP-status in the observation facet. It is stronger than record-presence and weaker than realised Observer-status.</w:t>
      </w:r>
    </w:p>
    <w:p w14:paraId="1D8B5D28"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record alone is not enough. A retained OA-keyed RAS may exist without being embedded in any admissible consultability pathway. It may be stored, buried, inaccessible, corrupted, unindexed, detached from its generating conditions, or physically present but operationally inert.</w:t>
      </w:r>
    </w:p>
    <w:p w14:paraId="06818234"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record-field alone is also not enough. A database, archive, memory store, log, image collection, genetic sequence repository, or institutional record system may contain many retained records. But unless those records are embedded in, or coupled to, an organisation capable of consultability under specified reference conditions, the field remains a record-field, not an observer-locus.</w:t>
      </w:r>
    </w:p>
    <w:p w14:paraId="316CC0FC"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An observer-locus requires grounded deployability. This does not require realised deployment in the present episode. The record does not yet need to be actively consulted. It does not yet need to alter downstream trajectory selection. It does not yet need to produce comparator-stable dependence. But the pathway must be well-posed.</w:t>
      </w:r>
    </w:p>
    <w:p w14:paraId="343450F3"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scientific instrument with retained readings, calibration conditions, metadata, and readout pathways may be an observer-locus even when no one is currently consulting it. A nervous system with retained perceptual states available for recall or action may be an observer-locus. A cell with retained regulatory states available for later pathway activation may be an observer-locus. An institution with records embedded in procedures may be an observer-locus.</w:t>
      </w:r>
    </w:p>
    <w:p w14:paraId="5612461B"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key question is whether the retained record can be consulted by the locus or coupled organisation under admissible reference conditions. If yes, observer-locus status may be warranted. If no, the case may remain TO, an archive, an externally readable physical state, or evidence for another locus, but not observer-locus.</w:t>
      </w:r>
    </w:p>
    <w:p w14:paraId="16184CC2"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4.2. Observer</w:t>
      </w:r>
    </w:p>
    <w:p w14:paraId="3D4564E0"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An Observer, capitalised, is realised observation.</w:t>
      </w:r>
    </w:p>
    <w:p w14:paraId="2A3BBA45"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More precisely, an Observer is a locus, system, organism, artefact-system, institution, technical pipeline, or coupled arrangement in which a retained OA-keyed RAS is actually redeployed through RSD as a controlling discriminator for later registration, transition, inference, action, control, or downstream outcome selection, with comparator-stable dependence on which retained discriminator was present.</w:t>
      </w:r>
    </w:p>
    <w:p w14:paraId="5065BB30"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An Observer is therefore NTO-status in the observation facet.</w:t>
      </w:r>
    </w:p>
    <w:p w14:paraId="69CAFD45"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This is not a claim about consciousness, subjectivity, self-awareness, experience, language, belief, judgement, or semantic interpretation. Those may appear in stronger observer architectures. They are not minimal.</w:t>
      </w:r>
    </w:p>
    <w:p w14:paraId="2B63424B"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An Observer is defined by realised record-operativity. A retained record must actually be used. Its use must alter later registration or downstream transition. The later result must depend on which retained discriminator was present. The dependence must survive adequate comparator discipline.</w:t>
      </w:r>
    </w:p>
    <w:p w14:paraId="19F30540"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scientific Observer may be a person using an instrument and record to guide inference. An institutional Observer may be a court applying retained records and rules to decide a case. A biological Observer may be a system in which retained registration controls later regulation, repair, or response. A technical Observer may be a sensor-control system in which retained readings guide later operation.</w:t>
      </w:r>
    </w:p>
    <w:p w14:paraId="1B1D1F1A"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Observer is not necessarily the first named object. A microscope alone may not be the Observer. It may be part of a larger observer-locus involving optics, sample preparation, calibration, sensor, operator, software, record, and interpretive procedure. A database alone may not be the Observer. It may be part of an institutional or computational observer arrangement. Observer-status must be localised to the organisation that actually carries the RSD-mediated dependence.</w:t>
      </w:r>
    </w:p>
    <w:p w14:paraId="473EDA6C"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This is why the capitalised term should be used sparingly. A system is an Observer only where realised record-operativity has been shown.</w:t>
      </w:r>
      <w:r>
        <w:rPr>
          <w:rStyle w:val="EndnoteReference"/>
          <w:rFonts w:ascii="Times New Roman" w:hAnsi="Times New Roman" w:eastAsia="Times New Roman" w:cs="Times New Roman"/>
          <w:color w:val="000000"/>
          <w:sz w:val="20"/>
          <w:szCs w:val="20"/>
          <w:vertAlign w:val="superscript"/>
        </w:rPr>
        <w:endnoteReference w:id="3"/>
      </w:r>
    </w:p>
    <w:p w14:paraId="514E40FE"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4.3. The lowercase/capitalised distinction</w:t>
      </w:r>
    </w:p>
    <w:p w14:paraId="42202F5C"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distinction between observer-locus and Observer is not stylistic. It is a status distinction.</w:t>
      </w:r>
    </w:p>
    <w:p w14:paraId="67C5A327"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An observer-locus is observation-capable. It has retained record embedded in, or coupled to, a grounded consultability pathway.</w:t>
      </w:r>
    </w:p>
    <w:p w14:paraId="2410FAFE"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An Observer is observation-realised. It has actually redeployed retained record as a controlling discriminator under comparator discipline.</w:t>
      </w:r>
    </w:p>
    <w:p w14:paraId="3A79A45C"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lowercase term names grounded potential. The capitalised term names realised dependence.</w:t>
      </w:r>
    </w:p>
    <w:p w14:paraId="67A33F34"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This distinction prevents three common errors. First, it prevents record-presence from becoming observer-status. A retained record may exist without grounded consultability. Second, it prevents grounded consultability from becoming realised observing. A record may be deployable without actually being deployed. Third, it prevents conscious observation from being treated as the only true observation. Conscious observers are special cases of richer observer architectures. They are not the definition of observation itself.</w:t>
      </w:r>
    </w:p>
    <w:p w14:paraId="7CBC894D"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camera memory card containing images may preserve observation records. It is not thereby an Observer. A telescope with stored readings and accessible readout may be part of an observer-locus. It becomes part of an Observer episode when retained records are actually redeployed into later inference, targeting, calibration, or control. A database may retain records. It becomes part of an Observer only where those records are actually used as controlling discriminators in a comparator-stable pathway.</w:t>
      </w:r>
    </w:p>
    <w:p w14:paraId="67EC3FE3"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distinction can be compressed:</w:t>
      </w:r>
    </w:p>
    <w:p w14:paraId="6D5BDD79"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TO: there is a record.</w:t>
      </w:r>
      <w:r w:rsidRPr="00565BC1">
        <w:rPr>
          <w:rFonts w:ascii="Times New Roman" w:hAnsi="Times New Roman" w:eastAsia="Times New Roman" w:cs="Times New Roman"/>
          <w:color w:val="000000"/>
          <w:kern w:val="0"/>
          <w:sz w:val="24"/>
          <w:szCs w:val="24"/>
          <w:lang w:eastAsia="en-GB"/>
          <w14:ligatures w14:val="none"/>
        </w:rPr>
        <w:br/>
        <w:t>OIP: there is an observation-capable locus.</w:t>
      </w:r>
      <w:r w:rsidRPr="00565BC1">
        <w:rPr>
          <w:rFonts w:ascii="Times New Roman" w:hAnsi="Times New Roman" w:eastAsia="Times New Roman" w:cs="Times New Roman"/>
          <w:color w:val="000000"/>
          <w:kern w:val="0"/>
          <w:sz w:val="24"/>
          <w:szCs w:val="24"/>
          <w:lang w:eastAsia="en-GB"/>
          <w14:ligatures w14:val="none"/>
        </w:rPr>
        <w:br/>
        <w:t>NTO: there is a realised Observer.</w:t>
      </w:r>
    </w:p>
    <w:p w14:paraId="784C6E61"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Record-presence is not observer-capacity. Observer-capacity is not realised observation.</w:t>
      </w:r>
      <w:r>
        <w:rPr>
          <w:rStyle w:val="EndnoteReference"/>
          <w:rFonts w:ascii="Times New Roman" w:hAnsi="Times New Roman" w:eastAsia="Times New Roman" w:cs="Times New Roman"/>
          <w:color w:val="000000"/>
          <w:sz w:val="20"/>
          <w:szCs w:val="20"/>
          <w:vertAlign w:val="superscript"/>
        </w:rPr>
        <w:endnoteReference w:id="4"/>
      </w:r>
    </w:p>
    <w:p w14:paraId="27337002"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4.4. Record-field is not observer-locus</w:t>
      </w:r>
    </w:p>
    <w:p w14:paraId="7B5CBE6F"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record-field is not automatically an observer-locus.</w:t>
      </w:r>
    </w:p>
    <w:p w14:paraId="3002B3FE"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record-field is an organised or disorganised domain of retained records. Under the present architecture, its members must be re-identifiable retained states produced through bounded registration under the reference conditions relevant to the field. Archives, datasets, logs, inscriptions, memory stores, stored images, institutional records, and machine-readable records may form record-fields.</w:t>
      </w:r>
    </w:p>
    <w:p w14:paraId="72BFE0ED"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Physical environments may preserve target-constrained structure without thereby becoming record-fields. Fossil beds, sedimentary layers, worn surfaces, chemical residues, and other historically dependent physical states may supply contrast to later observation pathways. Their external readability does not retroactively establish OR or RAS within the target state.</w:t>
      </w:r>
    </w:p>
    <w:p w14:paraId="4624D324"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record-field may contain knowledge-bearing or observation-relevant records, yet it does not become an observer-locus merely by existing. It must be embedded in, or coupled to, a pathway through which retained records can be consulted, redeployed, or otherwise made operative under specified conditions.</w:t>
      </w:r>
    </w:p>
    <w:p w14:paraId="0DC4ED43"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library with books may be a record-field and become part of an observer-locus where readers, catalogues, language competence, institutional access, and procedures make its records consultable. A geological stratum is not automatically a record-field or observer-locus; it may supply contrast to scientific instruments and sampling pathways through which investigators produce records. A database may form a record-field and become part of an observer-locus when query pathways, schemas, permissions, and downstream uses make its records deployable.</w:t>
      </w:r>
    </w:p>
    <w:p w14:paraId="56CEED5E"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This distinction blocks archive and persistence inflation. Not every retained field observes. Not every database observes. Not every historically informative environment is a record-field or observer-locus. Observer-locus status requires grounded consultability. Observer-status requires realised deployment.</w:t>
      </w:r>
    </w:p>
    <w:p w14:paraId="5B751AAB"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4.5. Distributed observer-loci</w:t>
      </w:r>
    </w:p>
    <w:p w14:paraId="368D0510"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Observer-loci may be distributed.</w:t>
      </w:r>
    </w:p>
    <w:p w14:paraId="5B0802B7"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Observation need not be contained inside one body, one instrument, one memory store, one machine, or one institutional office. Many serious observation systems are distributed across sensors, channels, records, models, calibration regimes, human operators, software systems, procedures, archives, and correction pathways.</w:t>
      </w:r>
    </w:p>
    <w:p w14:paraId="5D5D0065"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scientific observer-locus may include instrument, sample preparation, detector, calibration standard, software, statistical threshold, laboratory protocol, operator, record system, peer criticism, and replication pathway.</w:t>
      </w:r>
    </w:p>
    <w:p w14:paraId="53E4FB55"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legal observer-locus may include witness testimony, evidence rules, records, forms, procedural categories, roles, institutional authority, archives, and decision pathways.</w:t>
      </w:r>
    </w:p>
    <w:p w14:paraId="128AC127"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biological observer-locus may include receptor, membrane, signalling pathway, retained regulatory state, gene expression state, repair pathway, and later response.</w:t>
      </w:r>
    </w:p>
    <w:p w14:paraId="70209D67"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technical observer-locus may include sensor array, buffer, model, memory, logging system, decision rule, actuator, and feedback loop.</w:t>
      </w:r>
    </w:p>
    <w:p w14:paraId="2E436703"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Distribution does not weaken observer-locus status. But it raises the burden of localisation. The question becomes: what is the coupled organisation whose retained record is deployable, and what must remain intact for redeployment to be physically or operationally well-posed?</w:t>
      </w:r>
    </w:p>
    <w:p w14:paraId="6AD3BBD3"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distributed record system is not automatically a distributed observer-locus. The distribution must be functionally organised. There must be a pathway through which records remain accessible, classable, retainable, and deployable under the relevant reference conditions. Likewise, a distributed observer-locus is not automatically an Observer. Realised Observer-status requires actual RSD-mediated dependence.</w:t>
      </w:r>
    </w:p>
    <w:p w14:paraId="57D97068"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Distribution changes the topology. It does not remove the status ladder.</w:t>
      </w:r>
    </w:p>
    <w:p w14:paraId="4BBA2F0E"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4.6. Observation chain</w:t>
      </w:r>
    </w:p>
    <w:p w14:paraId="40AC0DCB"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An observation chain is an ordered composition of registration, retention, and redeployment events through which one observation record becomes condition for later registration or downstream transition.</w:t>
      </w:r>
    </w:p>
    <w:p w14:paraId="2399F931"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Minimal observation may involve one OR event and one retained RAS. Stronger observation chains involve RSD. A prior RAS is consulted and becomes the controlling discriminator for later OR or downstream transition. That later result may itself become a new RAS. The chain may continue.</w:t>
      </w:r>
    </w:p>
    <w:p w14:paraId="64F99B79"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An observation chain may be biological, perceptual, scientific, institutional, computational, technical, or social.</w:t>
      </w:r>
    </w:p>
    <w:p w14:paraId="56CE6685"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scientific chain may begin with sensor registration, proceed through calibration, produce a measurement record, enter a dataset, be transformed by a model, guide a later experiment, and become evidence in a theory.</w:t>
      </w:r>
    </w:p>
    <w:p w14:paraId="473FD5EE"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biological chain may begin with receptor registration, produce pathway state, alter gene expression, retain regulatory condition, and influence later response.</w:t>
      </w:r>
    </w:p>
    <w:p w14:paraId="76FEEE97"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An institutional chain may begin with testimony, become a record, enter a file, be classified under a rule, guide a procedure, and produce a decision.</w:t>
      </w:r>
    </w:p>
    <w:p w14:paraId="2D13FC9C"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computational chain may begin with input tokenisation, produce stored state, route through model parameters, generate output, log the result, and alter later operation.</w:t>
      </w:r>
    </w:p>
    <w:p w14:paraId="72CEB9C5"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Observation chains are important because real observers rarely operate through isolated registrations. They compose records into later records. They transform retention into redeployment. They create histories of bounded registration.</w:t>
      </w:r>
    </w:p>
    <w:p w14:paraId="7FB9B73E"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But Paper 4 should not try to measure the full performance envelope of such chains. That belongs to Paper 4c. Here, the purpose is simpler: observation chains show why RSD matters. A retained record becomes more than record-presence when it enters a later registration pathway. That is the hinge from TO to NTO.</w:t>
      </w:r>
    </w:p>
    <w:p>
      <w:pPr>
        <w:pStyle w:val="GOTSeparator"/>
        <w:keepNext/>
        <w:keepLines/>
        <w:pageBreakBefore w:val="0"/>
        <w:widowControl/>
        <w:spacing w:before="480" w:after="480" w:lineRule="exact" w:line="20"/>
      </w:pPr>
    </w:p>
    <w:p w14:paraId="309931C4" w14:textId="77777777" w:rsidR="00565BC1" w:rsidRPr="00CD5E9F" w:rsidRDefault="00565BC1" w:rsidP="00CD5E9F">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5. Observation, Knowledge, Intelligence, and Life</w:t>
      </w:r>
    </w:p>
    <w:p w14:paraId="0016EFCB"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5.1. Observation and knowledge</w:t>
      </w:r>
    </w:p>
    <w:p w14:paraId="0AF9EC15"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Observation and knowledge overlap, but they are not identical.</w:t>
      </w:r>
    </w:p>
    <w:p w14:paraId="30E290FC"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Knowledge is retained distinction. Observation is bounded registration.</w:t>
      </w:r>
    </w:p>
    <w:p w14:paraId="7EE0F33F"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RAS may be knowledge-bearing because it preserves a prior distinction as present accessible state. The same RAS may be an observation record when the explanatory emphasis is the bounded registration pathway through which that retained distinction was produced.</w:t>
      </w:r>
    </w:p>
    <w:p w14:paraId="16E0AE8A"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difference is facet emphasis. Knowledge asks what status a retained distinction has. Observation asks how a distinction was registered through a bounded interface into retained record.</w:t>
      </w:r>
    </w:p>
    <w:p w14:paraId="44949C8E"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book may be knowledge-bearing as retained distinction. It is not necessarily an observation record unless its relation to a bounded registration pathway is specified. A memory may be knowledge-bearing as retained distinction. It becomes observationally relevant when the registration pathway that produced it is at issue. A dataset may be knowledge-bearing as retained state. It becomes an observation record when its measurement, sampling, instrument, abstraction, and recording pathway are being evaluated.</w:t>
      </w:r>
    </w:p>
    <w:p w14:paraId="1446C4D0"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This distinction is important because knowledge can circulate beyond its original observation pathway. A record may be copied, summarised, translated, transmitted, modelled, cited, or institutionalised. It may remain knowledge-bearing while its observation provenance becomes obscured. Paper 4 restores the provenance question.</w:t>
      </w:r>
    </w:p>
    <w:p w14:paraId="79F90F24"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What was registered? Through what interface? Under what abstraction? At what scale? Into what retained state? With what deployability? With what realised dependence?</w:t>
      </w:r>
    </w:p>
    <w:p w14:paraId="62C6BF07"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Observation is the record-provenance facet of retained distinction.</w:t>
      </w:r>
    </w:p>
    <w:p w14:paraId="7D9B5F68"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5.2. Observation and intelligence</w:t>
      </w:r>
    </w:p>
    <w:p w14:paraId="4CA82040"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Observation and intelligence also overlap, but they are not identical.</w:t>
      </w:r>
    </w:p>
    <w:p w14:paraId="68EA20AC"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Intelligence is applied distinction. Observation is bounded registration.</w:t>
      </w:r>
    </w:p>
    <w:p w14:paraId="78F45620"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system may observe without applying the observation record in the present episode. That is TO. A record exists but remains unconsulted.</w:t>
      </w:r>
    </w:p>
    <w:p w14:paraId="5098FC31"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system may be observation-capable without realised application. That is OIP. The record is grounded in a deployability pathway, but no actual redeployment has occurred.</w:t>
      </w:r>
    </w:p>
    <w:p w14:paraId="180FB34D"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system becomes both observation-realised and intelligence-relevant where retained observation record is actually applied to alter downstream trajectory selection. That is NTO and, under the intelligence facet, may also be NTI.</w:t>
      </w:r>
    </w:p>
    <w:p w14:paraId="2D5E6019"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same underlying episode can therefore be described under two facets. If the emphasis is bounded registration and record-provenance, the episode is observation. If the emphasis is application of distinction to downstream trajectory selection, the episode is intelligence.</w:t>
      </w:r>
    </w:p>
    <w:p w14:paraId="189971BB"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For example, a scientific measurement retained in a lab notebook may be TO. If the record is accessible to later experimental design, it may be OIP. If it is actually used to redesign an experiment and the later outcome depends on which measurement was recorded, it may be NTO. Under the intelligence facet, the same redeployment may also be intelligence-relevant because retained distinction has altered branch-space.</w:t>
      </w:r>
    </w:p>
    <w:p w14:paraId="51ACD3D2"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mechanism does not multiply. The explanatory emphasis changes.</w:t>
      </w:r>
    </w:p>
    <w:p w14:paraId="6E4704AA"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Observation supplies the record. Intelligence applies distinction. Strong observing systems often become intelligent because records are used. Intelligent systems often depend on observation because applied distinction must often be registered and retained. But neither facet should be collapsed into the other.</w:t>
      </w:r>
    </w:p>
    <w:p w14:paraId="358AE4BF"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Observation without application is possible. Application without a retained observation record is also possible.</w:t>
      </w:r>
    </w:p>
    <w:p w14:paraId="2C7637F3"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5.3. Life entails observer-locus</w:t>
      </w:r>
    </w:p>
    <w:p w14:paraId="4E4D2078"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Life entails observer-locus at the relevant reference scale.</w:t>
      </w:r>
    </w:p>
    <w:p w14:paraId="7FE38876"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This is one of the central fulcrum claims of the series.</w:t>
      </w:r>
    </w:p>
    <w:p w14:paraId="56F71425"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Part 1 life discriminator defines life as driven thermodynamic constraint-maintenance supported by IPL-mediated NTC. A living system must maintain a driven regime over an operational horizon through distinction-conditioned organisation.</w:t>
      </w:r>
    </w:p>
    <w:p w14:paraId="5FCCC441"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Such a system cannot satisfy the life discriminator without some capacity to register and retain distinctions relevant to maintenance, repair, regulation, inhibition, resource allocation, boundary maintenance, reproduction, or continuity. Its organisation must preserve enough registration-capacity for relevant differences to become operative in the maintenance of the driven regime.</w:t>
      </w:r>
    </w:p>
    <w:p w14:paraId="4D91D245"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At the relevant reference scale, this implies observer-locus status.</w:t>
      </w:r>
    </w:p>
    <w:p w14:paraId="6E3C870B"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claim should be stated carefully. It does not mean every living system is conscious. It does not mean every living system is an Observer in the capitalised, realised NTO sense at every moment. It does not mean every living system produces explicit records, semantic reports, or perceptual experiences.</w:t>
      </w:r>
    </w:p>
    <w:p w14:paraId="23159301"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It means that a living system, insofar as it satisfies the life discriminator, must include observation-capable organisation: retained or stabilised registration pathways embedded in grounded deployability relations sufficient to support distinction-conditioned maintenance.</w:t>
      </w:r>
    </w:p>
    <w:p w14:paraId="0DB55752"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Life requires more than observation. But life cannot occur without observation-capacity. The living system must be able to register relevant conditions enough to maintain itself as a driven thermodynamic organisation. That is observer-locus status at the relevant scale.</w:t>
      </w:r>
    </w:p>
    <w:p w14:paraId="00E3A2FC"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Compressed:</w:t>
      </w:r>
    </w:p>
    <w:p w14:paraId="37F047E2"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Life entails observer-locus.</w:t>
      </w:r>
      <w:r w:rsidRPr="00565BC1">
        <w:rPr>
          <w:rFonts w:ascii="Times New Roman" w:hAnsi="Times New Roman" w:eastAsia="Times New Roman" w:cs="Times New Roman"/>
          <w:color w:val="000000"/>
          <w:kern w:val="0"/>
          <w:sz w:val="24"/>
          <w:szCs w:val="24"/>
          <w:lang w:eastAsia="en-GB"/>
          <w14:ligatures w14:val="none"/>
        </w:rPr>
        <w:br/>
        <w:t>Life does not entail consciousness.</w:t>
      </w:r>
      <w:r w:rsidRPr="00565BC1">
        <w:rPr>
          <w:rFonts w:ascii="Times New Roman" w:hAnsi="Times New Roman" w:eastAsia="Times New Roman" w:cs="Times New Roman"/>
          <w:color w:val="000000"/>
          <w:kern w:val="0"/>
          <w:sz w:val="24"/>
          <w:szCs w:val="24"/>
          <w:lang w:eastAsia="en-GB"/>
          <w14:ligatures w14:val="none"/>
        </w:rPr>
        <w:br/>
        <w:t>Life does not entail realised NTO at every moment.</w:t>
      </w:r>
      <w:r w:rsidRPr="00565BC1">
        <w:rPr>
          <w:rFonts w:ascii="Times New Roman" w:hAnsi="Times New Roman" w:eastAsia="Times New Roman" w:cs="Times New Roman"/>
          <w:color w:val="000000"/>
          <w:kern w:val="0"/>
          <w:sz w:val="24"/>
          <w:szCs w:val="24"/>
          <w:lang w:eastAsia="en-GB"/>
          <w14:ligatures w14:val="none"/>
        </w:rPr>
        <w:br/>
        <w:t>Life does entail observation-capable distinction-maintenance architecture.</w:t>
      </w:r>
      <w:r>
        <w:rPr>
          <w:rStyle w:val="EndnoteReference"/>
          <w:rFonts w:ascii="Times New Roman" w:hAnsi="Times New Roman" w:eastAsia="Times New Roman" w:cs="Times New Roman"/>
          <w:color w:val="000000"/>
          <w:sz w:val="20"/>
          <w:szCs w:val="20"/>
          <w:vertAlign w:val="superscript"/>
        </w:rPr>
        <w:endnoteReference w:id="5"/>
      </w:r>
    </w:p>
    <w:p w14:paraId="180274A2"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5.4. Observer-locus does not entail life</w:t>
      </w:r>
    </w:p>
    <w:p w14:paraId="31412D64"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entailment does not reverse.</w:t>
      </w:r>
    </w:p>
    <w:p w14:paraId="2C771432"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Observer-locus does not entail life.</w:t>
      </w:r>
    </w:p>
    <w:p w14:paraId="6F4E84D9"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system may retain records and support grounded deployability without satisfying the life discriminator. A scientific instrument may store measurements and make them available to later procedures. A machine system may retain logs and route later processing through them. A legal institution may preserve records and make them consultable. A technical pipeline may register, store, and prepare records for later use.</w:t>
      </w:r>
    </w:p>
    <w:p w14:paraId="324B6BFF"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Such systems may be observer-loci. They are not therefore alive.</w:t>
      </w:r>
    </w:p>
    <w:p w14:paraId="127AF686"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Life requires driven thermodynamic constraint-maintenance supported by IPL-mediated NTC. Observer-locus requires retained observation record embedded in a grounded consultability pathway. These are different thresholds.</w:t>
      </w:r>
    </w:p>
    <w:p w14:paraId="125020D7"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telescope in an observatory may contribute to observation. A database may retain records. A court may consult records. A machine pipeline may use logged states. These may satisfy observation-facet conditions. They do not thereby maintain themselves as driven thermodynamic organisations.</w:t>
      </w:r>
    </w:p>
    <w:p w14:paraId="27088763"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Observer-locus is therefore weaker than life in one respect and broader in another. It is weaker because it does not require driven thermodynamic self-maintenance. It is broader because it can apply to instruments, institutions, machines, and coupled systems outside biological life.</w:t>
      </w:r>
    </w:p>
    <w:p w14:paraId="0D3EAC0C"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This asymmetry is important.</w:t>
      </w:r>
    </w:p>
    <w:p w14:paraId="385AFBFC"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Life entails observer-locus.</w:t>
      </w:r>
      <w:r w:rsidRPr="00565BC1">
        <w:rPr>
          <w:rFonts w:ascii="Times New Roman" w:hAnsi="Times New Roman" w:eastAsia="Times New Roman" w:cs="Times New Roman"/>
          <w:color w:val="000000"/>
          <w:kern w:val="0"/>
          <w:sz w:val="24"/>
          <w:szCs w:val="24"/>
          <w:lang w:eastAsia="en-GB"/>
          <w14:ligatures w14:val="none"/>
        </w:rPr>
        <w:br/>
        <w:t>Observer-locus does not entail life.</w:t>
      </w:r>
    </w:p>
    <w:p w14:paraId="1581D229"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5.5. NTO does not entail life</w:t>
      </w:r>
    </w:p>
    <w:p w14:paraId="306819AE"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Even realised Non-Trivial Observation does not entail life.</w:t>
      </w:r>
    </w:p>
    <w:p w14:paraId="24ADF730"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NTO requires realised record-operativity: retained observation record redeployed through RSD with comparator-stable downstream dependence. That can occur outside life.</w:t>
      </w:r>
    </w:p>
    <w:p w14:paraId="40F0B126"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machine control system may retain a sensor reading and use it to alter later output. An automated observatory may register, store, and redeploy records in later targeting. A legal institution may consult retained records to produce decisions. A scientific apparatus may use calibration records to control later measurement. These may be NTO cases under the observation facet if the pathway and comparator dependence are established.</w:t>
      </w:r>
    </w:p>
    <w:p w14:paraId="6CC8C7EF"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They are not thereby life.</w:t>
      </w:r>
    </w:p>
    <w:p w14:paraId="6DAB0073"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Life requires the stricter condition: driven thermodynamic constraint-maintenance supported by IPL-mediated NTC at the attribution locus. NTO may support life, appear inside life, or occur outside life. It does not decide life-status alone.</w:t>
      </w:r>
    </w:p>
    <w:p w14:paraId="543D39E1"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reverse relation also needs care. Living systems will often instantiate NTO episodes. But life entails observer-locus, not necessarily a specific NTO episode at every moment. Dormant, minimal, or low-activity life may retain observation-capable organisation without currently redeploying a specific retained observation record in a realised NTO episode.</w:t>
      </w:r>
    </w:p>
    <w:p w14:paraId="4BE2618D"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relationship is therefore:</w:t>
      </w:r>
    </w:p>
    <w:p w14:paraId="46C53EE1"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Life entails observer-locus.</w:t>
      </w:r>
      <w:r w:rsidRPr="00565BC1">
        <w:rPr>
          <w:rFonts w:ascii="Times New Roman" w:hAnsi="Times New Roman" w:eastAsia="Times New Roman" w:cs="Times New Roman"/>
          <w:color w:val="000000"/>
          <w:kern w:val="0"/>
          <w:sz w:val="24"/>
          <w:szCs w:val="24"/>
          <w:lang w:eastAsia="en-GB"/>
          <w14:ligatures w14:val="none"/>
        </w:rPr>
        <w:br/>
        <w:t>Life often instantiates NTO.</w:t>
      </w:r>
      <w:r w:rsidRPr="00565BC1">
        <w:rPr>
          <w:rFonts w:ascii="Times New Roman" w:hAnsi="Times New Roman" w:eastAsia="Times New Roman" w:cs="Times New Roman"/>
          <w:color w:val="000000"/>
          <w:kern w:val="0"/>
          <w:sz w:val="24"/>
          <w:szCs w:val="24"/>
          <w:lang w:eastAsia="en-GB"/>
          <w14:ligatures w14:val="none"/>
        </w:rPr>
        <w:br/>
        <w:t>NTO does not entail life.</w:t>
      </w:r>
      <w:r w:rsidRPr="00565BC1">
        <w:rPr>
          <w:rFonts w:ascii="Times New Roman" w:hAnsi="Times New Roman" w:eastAsia="Times New Roman" w:cs="Times New Roman"/>
          <w:color w:val="000000"/>
          <w:kern w:val="0"/>
          <w:sz w:val="24"/>
          <w:szCs w:val="24"/>
          <w:lang w:eastAsia="en-GB"/>
          <w14:ligatures w14:val="none"/>
        </w:rPr>
        <w:br/>
        <w:t>Observer-locus does not entail life.</w:t>
      </w:r>
    </w:p>
    <w:p w14:paraId="180A23B8"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This keeps the three fulcrums aligned without collapse. Life is driven thermodynamic constraint-maintenance. RRP is reference-indexed operational distinction. Observation is bounded registration. Each is necessary to the wider architecture. None should be substituted for the others.</w:t>
      </w:r>
    </w:p>
    <w:p>
      <w:pPr>
        <w:pStyle w:val="GOTSeparator"/>
        <w:keepNext/>
        <w:keepLines/>
        <w:pageBreakBefore w:val="0"/>
        <w:widowControl/>
        <w:spacing w:before="480" w:after="480" w:lineRule="exact" w:line="20"/>
      </w:pPr>
    </w:p>
    <w:p w14:paraId="6D24565D" w14:textId="77777777" w:rsidR="00565BC1" w:rsidRPr="00CD5E9F" w:rsidRDefault="00565BC1" w:rsidP="00CD5E9F">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6. Guardrails and failure modes</w:t>
      </w:r>
    </w:p>
    <w:p w14:paraId="26121257"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6.1. Observation is not certificate</w:t>
      </w:r>
    </w:p>
    <w:p w14:paraId="1E56644E"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first failure mode is treating observation as automatic warrant. In this error, something is called observed and is then treated as true, objective, unmediated, or beyond abstraction.</w:t>
      </w:r>
    </w:p>
    <w:p w14:paraId="7352CFDC"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correction is straightforward. Observation gives record-provenance, not automatic truth-status. Truth, warrant, and objectivity require further correction architecture: abstraction discipline, scale discipline, comparator testing, calibration, repeatability, residual tracking, and error analysis.</w:t>
      </w:r>
    </w:p>
    <w:p w14:paraId="4AFD2EB8"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Observed does not mean unmediated. Observed means registered through a bounded pathway.</w:t>
      </w:r>
    </w:p>
    <w:p w14:paraId="6DF63629"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6.2. Observation is not consciousness</w:t>
      </w:r>
    </w:p>
    <w:p w14:paraId="1988C3A0"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second failure mode is restricting observation to conscious, subjective, reflective, linguistic, or human-like experience. In this error, consciousness is treated as the discriminator of observation.</w:t>
      </w:r>
    </w:p>
    <w:p w14:paraId="2EC586DA"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correction is to place consciousness at the proper level. Consciousness is a stronger specialised observer architecture. Minimal observation requires OP-supported, OA-classed registration into RAS. Observer-status requires OIP or NTO conditions, not consciousness by default.</w:t>
      </w:r>
    </w:p>
    <w:p w14:paraId="6AD315BC"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There is no consciousness requirement. But there is also no consciousness shortcut. A conscious report still requires bounded registration discipline.</w:t>
      </w:r>
    </w:p>
    <w:p w14:paraId="3EF5C482"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6.3. Interaction is not observation</w:t>
      </w:r>
    </w:p>
    <w:p w14:paraId="758088C3"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third failure mode is calling every interaction, perturbation, coupling, or state change observation. In this error, because one system affects another, observation-status is attributed.</w:t>
      </w:r>
    </w:p>
    <w:p w14:paraId="5F0BA35D"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correction is that interaction may produce variation, signal-bearing contrast, transient state change, or persistent physical alteration. Observation requires an OP-supported, OA-classed alternative to be selected through OR into an OA-keyed RAS. Without retained registration, the claim remains below TO.</w:t>
      </w:r>
    </w:p>
    <w:p w14:paraId="5C8710A8" w14:textId="77777777" w:rsidR="00565BC1" w:rsidRPr="00CD5E9F"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CD5E9F">
        <w:rPr>
          <w:rFonts w:ascii="Times New Roman" w:hAnsi="Times New Roman" w:eastAsia="Times New Roman" w:cs="Times New Roman"/>
          <w:color w:val="000000"/>
          <w:kern w:val="0"/>
          <w:sz w:val="24"/>
          <w:szCs w:val="24"/>
          <w:lang w:eastAsia="en-GB"/>
          <w14:ligatures w14:val="none"/>
        </w:rPr>
        <w:t>No persistent OA-keyed RAS, no Trivial Observation.</w:t>
      </w:r>
    </w:p>
    <w:p w14:paraId="4496F01F"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6.4. Physical persistence is not observation</w:t>
      </w:r>
    </w:p>
    <w:p w14:paraId="6D86AF19"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fourth failure mode is treating every persistent physical consequence as an observation record. In this error, a mark, gradient, deformation, molecular state, residue, or other historically dependent physical condition is treated as observation merely because it persists or can later be read.</w:t>
      </w:r>
    </w:p>
    <w:p w14:paraId="62F84A1E"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correction is that such a state may supply contrast to a signal or registration pathway, become OP for another locus, or function as evidence within a later observation episode. It is not itself an observation record unless an OP-supported, OA-classed alternative has been selected through OR into a re-identifiable RAS under specified reference conditions.</w:t>
      </w:r>
    </w:p>
    <w:p w14:paraId="6A403A49"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Persistence may support observation. Persistence is not observation.</w:t>
      </w:r>
    </w:p>
    <w:p w14:paraId="3D08F71C"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6.5. Signal reception is not observation</w:t>
      </w:r>
    </w:p>
    <w:p w14:paraId="1BFCB8ED"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fifth failure mode is treating signal arrival as observation. In this error, because signal-bearing contrast reaches a system, observation is assumed.</w:t>
      </w:r>
    </w:p>
    <w:p w14:paraId="494F2813"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correction is that signal reception may support observation, but it must enter OP, be classed by OA, be registered through OR, and persist as RAS for TO-status. Stronger statuses require grounded deployability or realised RSD.</w:t>
      </w:r>
    </w:p>
    <w:p w14:paraId="7CC141C8"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Signal is preserved contrast. Observation is bounded registration.</w:t>
      </w:r>
    </w:p>
    <w:p w14:paraId="1D05908B"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6.6. Record is not Observer</w:t>
      </w:r>
    </w:p>
    <w:p w14:paraId="7986D3C6"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sixth failure mode is treating record-presence as Observer-status. In this error, because a retained record exists, the system is treated as an Observer.</w:t>
      </w:r>
    </w:p>
    <w:p w14:paraId="4477445F"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correction is that TO is record-presence. Observer-locus requires OIP: grounded deployability. Observer requires NTO: realised record-operativity. A record may exist without consultability or realised deployment.</w:t>
      </w:r>
    </w:p>
    <w:p w14:paraId="2E86CA81"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Record-presence is not observer-capacity. Observer-capacity is not realised observing.</w:t>
      </w:r>
    </w:p>
    <w:p w14:paraId="0413701D"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6.7. Record-field is not observer-locus</w:t>
      </w:r>
    </w:p>
    <w:p w14:paraId="78C0B351"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seventh failure mode is treating a database, archive, log, fossil layer, memory store, record collection, or inscription field as an observer-locus merely because it contains retained distinctions.</w:t>
      </w:r>
    </w:p>
    <w:p w14:paraId="13AC1FC4"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correction is that observer-locus requires retained records embedded in or coupled to an admissible consultability pathway. A record-field may be knowledge-bearing, evidence-bearing, or observation-relevant without itself being an observer-locus.</w:t>
      </w:r>
    </w:p>
    <w:p w14:paraId="4D4B66E9"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No grounded consultability, no observer-locus.</w:t>
      </w:r>
    </w:p>
    <w:p w14:paraId="60B7E823"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6.8. OIP is not NTO</w:t>
      </w:r>
    </w:p>
    <w:p w14:paraId="0A516B59"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eighth failure mode is treating deployability-in-principle as realised observation. In this error, because a record could be consulted, it is assumed to have been consulted.</w:t>
      </w:r>
    </w:p>
    <w:p w14:paraId="708FE6A2"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correction is that OIP is grounded deployability. NTO requires actual RSD-mediated record-operativity with comparator-stable downstream dependence.</w:t>
      </w:r>
    </w:p>
    <w:p w14:paraId="5B8FC29F"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Could be used is not was used. Deployable is not deployed.</w:t>
      </w:r>
    </w:p>
    <w:p w14:paraId="352A2BA6"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6.9. NTO is not life</w:t>
      </w:r>
    </w:p>
    <w:p w14:paraId="2DD949A3"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ninth failure mode is treating realised observation as life. In this error, because a system registers, retains, and redeploys records with downstream dependence, it is classified as alive.</w:t>
      </w:r>
    </w:p>
    <w:p w14:paraId="03EAACE3"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correction is that NTO is an observation-facet status. Life requires driven thermodynamic constraint-maintenance supported by IPL-mediated NTC at the attribution locus. NTO may occur inside life or outside life.</w:t>
      </w:r>
    </w:p>
    <w:p w14:paraId="5CF73C8E"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No driven thermodynamic constraint-maintenance, no life-status.</w:t>
      </w:r>
    </w:p>
    <w:p w14:paraId="13DB075A"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6.10. External interpretation is not observation by the target locus</w:t>
      </w:r>
    </w:p>
    <w:p w14:paraId="54B5D386"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tenth failure mode is projecting an external observer’s interpretation into the target system. In this error, because a scientist, analyst, reader, or institution can interpret a mark, residue, molecular state, or other persistent physical condition, the target system is treated as having observed.</w:t>
      </w:r>
    </w:p>
    <w:p w14:paraId="5E808EA0"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correction is that an external observer may observe through an access path involving that physical state. The target locus observes only where it supports the relevant OP/OA/OR/RAS/RSD pathway under its own reference conditions. Observer-status must not be moved silently across loci.</w:t>
      </w:r>
    </w:p>
    <w:p w14:paraId="04EC6CE4"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External readability is not target observation.</w:t>
      </w:r>
    </w:p>
    <w:p w14:paraId="7D1A155B"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6.11. Distributed records are not automatically a distributed observer</w:t>
      </w:r>
    </w:p>
    <w:p w14:paraId="6CB23C8A"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eleventh failure mode is assuming a distributed observer because records are distributed across many sites. In this error, distribution is treated as integration.</w:t>
      </w:r>
    </w:p>
    <w:p w14:paraId="0CC97D56"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correction is that distributed observer-locus status requires organised consultability across the distributed arrangement. Distributed Observer-status requires realised RSD-mediated dependence across that arrangement. Mere distribution of records, sensors, or data does not create observer-status.</w:t>
      </w:r>
    </w:p>
    <w:p w14:paraId="28DA01D1"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Distribution changes topology. It does not remove the status ladder.</w:t>
      </w:r>
    </w:p>
    <w:p w14:paraId="4E8483E5"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6.12. Observed does not mean true</w:t>
      </w:r>
    </w:p>
    <w:p w14:paraId="4CC4C148"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twelfth failure mode is treating an observation record as true because it was observed. In this error, record-provenance is collapsed into truth-status.</w:t>
      </w:r>
    </w:p>
    <w:p w14:paraId="3337BFDF"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correction is that a record may be real, retained, and observation-produced while still being false, misleading, noisy, miscalibrated, scale-misfit, abstraction-bound, incomplete, or later corrected. Truth and objectivity require correction of the observation pathway.</w:t>
      </w:r>
    </w:p>
    <w:p w14:paraId="7CC8AA3F"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Observation is the beginning of audit, not the end of it.</w:t>
      </w:r>
    </w:p>
    <w:p w14:paraId="393823BB"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6.13. Observer-dependence is not subjectivism</w:t>
      </w:r>
    </w:p>
    <w:p w14:paraId="39BF858A"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final failure mode is treating observer-dependence as subjectivism. In this error, because observation is observer-dependent, it is treated as subjective, arbitrary, or constructivist.</w:t>
      </w:r>
    </w:p>
    <w:p w14:paraId="0372D95A"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correction is that observer-dependence means registration is bounded by a locus-interface-regime. It does not mean reality is invented by the observer. Reality constrains whether contrast is available, whether registration succeeds, whether records persist, whether redeployment works, and whether comparators expose dependence.</w:t>
      </w:r>
    </w:p>
    <w:p w14:paraId="6808F97B"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observer bounds registration. The world constrains the bound.</w:t>
      </w:r>
    </w:p>
    <w:p>
      <w:pPr>
        <w:pStyle w:val="GOTSeparator"/>
        <w:keepNext/>
        <w:keepLines/>
        <w:pageBreakBefore w:val="0"/>
        <w:widowControl/>
        <w:spacing w:before="480" w:after="480" w:lineRule="exact" w:line="20"/>
      </w:pPr>
    </w:p>
    <w:p w14:paraId="32A6917A" w14:textId="77777777" w:rsidR="00565BC1" w:rsidRPr="00CD5E9F" w:rsidRDefault="00565BC1" w:rsidP="00CD5E9F">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7. Handoff to the Observation extension papers</w:t>
      </w:r>
    </w:p>
    <w:p w14:paraId="3B27D5D4"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7.1. What Paper 4 has installed</w:t>
      </w:r>
    </w:p>
    <w:p w14:paraId="0242FE0F"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This paper has installed the observation fulcrum of Part 2.</w:t>
      </w:r>
    </w:p>
    <w:p w14:paraId="5F194955"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Paper 1 established information as operational distinction. Paper 1a established signal as preserved contrast. Paper 2 established knowledge as retained distinction. Paper 3 established intelligence as applied distinction. Paper 4 has now established observation as bounded registration.</w:t>
      </w:r>
    </w:p>
    <w:p w14:paraId="681F3173"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core observation identities are now fixed. The observation event is OR. The observation record is RAS. Strong observation requires RSD.</w:t>
      </w:r>
    </w:p>
    <w:p w14:paraId="0FB8E504"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observation-status ladder is also fixed. Pre-TO failure is below record-presence. TO is record-presence. OIP is grounded deployability. NTO is realised record-operativity.</w:t>
      </w:r>
    </w:p>
    <w:p w14:paraId="433694EF"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Observer-status is fixed as well. An observer-locus is OIP-status in the observation facet. An Observer is realised NTO.</w:t>
      </w:r>
    </w:p>
    <w:p w14:paraId="1FFC5D6F"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Finally, the observation fulcrum is aligned with life. Life entails observer-locus at the relevant reference scale. Observer-locus does not entail life. NTO does not entail life.</w:t>
      </w:r>
    </w:p>
    <w:p w14:paraId="2F991F2D"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These are now canonical controls for later papers.</w:t>
      </w:r>
    </w:p>
    <w:p w14:paraId="204DCF80"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7.2. What remains unresolved</w:t>
      </w:r>
    </w:p>
    <w:p w14:paraId="641E2648"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paper has not yet solved the limits of observation. It has defined observation as bounded registration, but it has not yet fully developed what follows from boundedness.</w:t>
      </w:r>
    </w:p>
    <w:p w14:paraId="73AF8E9D"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If observation requires OA before OR, then every observation is abstraction-bound. If every observation is abstraction-bound, then every observer operates through cuts, abstraction regimes, perspectives, and omissions. If every observation is scale-bound, then every measurement, comparison, record, and claim depends on scalar stabilisation. If observation is an organised pathway of registration, retention, possible redeployment, and downstream readout, then observation systems have performance envelopes. They can drift, overload, saturate, lose fidelity, collapse, or fail under comparator pressure.</w:t>
      </w:r>
    </w:p>
    <w:p w14:paraId="30FF23E8"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Those are not problems for Paper 4 to solve. They are the tasks of the observation-extension sequence.</w:t>
      </w:r>
    </w:p>
    <w:p w14:paraId="47115352"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Paper 4 defines the observation threshold and observer-status architecture. Paper 4a will define the abstraction consequence. Paper 4b will define the scalar consequence. Paper 4c will define the operational envelope.</w:t>
      </w:r>
    </w:p>
    <w:p w14:paraId="7EB65B09"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7.3. Handoff to Paper 4a: the limits of Observation</w:t>
      </w:r>
    </w:p>
    <w:p w14:paraId="34CF57D7"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Paper 4a begins from the fact that every observation event is OR structured by OA. If observation requires abstraction before registration, then observation is never raw reception. It is registration through a cut.</w:t>
      </w:r>
    </w:p>
    <w:p w14:paraId="1169986B"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cut is the elementary abstraction operation by which some differences become registerable while others are excluded, compressed, stabilised, backgrounded, or treated as inert. An abstraction regime coordinates many cuts into repeatable registration conditions. A perspective is the locus-level abstraction architecture through which reality becomes registerable, retainable, redeployable, and correctable.</w:t>
      </w:r>
    </w:p>
    <w:p w14:paraId="1B08F506"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Paper 4a therefore asks what limits are imposed by abstraction if observation is bounded registration.</w:t>
      </w:r>
    </w:p>
    <w:p w14:paraId="41ACAAD7"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Its answer will be that all observation is abstraction. A cut makes difference registerable. An abstraction regime stabilises cuts. A perspective integrates abstraction for a locus. The Abstraction Gap is the discrepancy between a registration or perspective and the fuller relation it compresses. Relational uncertainty arises when it is unclear whether the abstraction preserves the relation it claims to carry. Objectivity is disciplined correction of perspective under constraint.</w:t>
      </w:r>
    </w:p>
    <w:p w14:paraId="1822D4C5"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This is the next necessary step because Paper 4 has shown that observation produces records, but not that records are abstraction-free. They are not.</w:t>
      </w:r>
    </w:p>
    <w:p w14:paraId="0B495B2B"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7.4. Handoff to Paper 4b: the scale of Observation</w:t>
      </w:r>
    </w:p>
    <w:p w14:paraId="183B2CAF"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Paper 4b begins from the scalar consequence of perspective.</w:t>
      </w:r>
    </w:p>
    <w:p w14:paraId="312DE18F"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If observation is bounded registration through abstraction, then observation is also scale-bound. A finite observer does not encounter scale-free reality and then decide how to measure it. It encounters difference through the scale-bearing conditions of its perspective.</w:t>
      </w:r>
    </w:p>
    <w:p w14:paraId="4832F654"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Scale is not mere size. It is not mere convention. It is not merely an analyst’s preferred level. Scale is stabilised comparability: the operative relational level at which differences can be individuated, compared, registered, retained, redeployed, and corrected by a locus.</w:t>
      </w:r>
    </w:p>
    <w:p w14:paraId="6620C403"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Paper 4b therefore asks what follows for scale if observation requires perspective.</w:t>
      </w:r>
    </w:p>
    <w:p w14:paraId="120C9C95"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Its answer will be that perspective fixes scale. Scale fixes comparability. Comparability fixes measurement, registration, retention, redeployment, and correction. Physical magnitude is reality-constrained condition. Reference scale is the scale specified for evaluation. Operative scale is the scale actually stabilised by a locus through its perspective. Measurement is registration into scale. Scale Gap is Abstraction Gap under scalar misfit. Objectivity requires correction of perspective and correction of scale.</w:t>
      </w:r>
    </w:p>
    <w:p w14:paraId="08DFAC6A"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This is necessary because Paper 4 has defined bounded registration, and Paper 4a will define abstraction, but neither is complete until scalar comparability is disciplined.</w:t>
      </w:r>
    </w:p>
    <w:p w14:paraId="07E61F66"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7.5. Handoff to Paper 4c: the operational envelope of Observation</w:t>
      </w:r>
    </w:p>
    <w:p w14:paraId="224F4B12"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Paper 4c begins once the observation mechanism, abstraction condition, and scale condition are in place.</w:t>
      </w:r>
    </w:p>
    <w:p w14:paraId="56FFC229"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If observation is an organised pathway of registration, retention, possible redeployment, and downstream readout, then an observation system is not merely present or absent. It has an operational envelope. It may register reliably or unreliably. It may operate within a narrow or wide range. It may sustain one consult-and-register link or many. It may generate high or low downstream differentiation. It may saturate under bandwidth pressure. It may drift under load. It may collapse when regime conditions fail.</w:t>
      </w:r>
    </w:p>
    <w:p w14:paraId="2CC889D2"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Paper 4c therefore asks how observation programs perform, degrade, and fail.</w:t>
      </w:r>
    </w:p>
    <w:p w14:paraId="245BF87C"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Its answer will define derived descriptors, not new primitives. Observational Horizon measures reliable reach. Counterfactual Horizon measures admissible intervention range. Registration Fidelity measures reliability of OA-to-RAS mapping. Observational Bandwidth measures registration throughput. Observational Depth measures realised consult-and-register chain length. Observational Gain measures downstream differentiation relative to comparator conditions. Observational Drift measures gradual degradation of registration or deployment stability. Observational Load measures the cost of sustaining observation-capable regimes. Observational Collapse marks the regime transition where content-driven registration or redeployment can no longer be maintained.</w:t>
      </w:r>
    </w:p>
    <w:p w14:paraId="7758738D"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This paper does not need those descriptors. It prepares them.</w:t>
      </w:r>
    </w:p>
    <w:p w14:paraId="1755E581"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Paper 4 defines the threshold. Paper 4c measures the envelope.</w:t>
      </w:r>
    </w:p>
    <w:p w14:paraId="55525450" w14:textId="77777777" w:rsidR="00565BC1" w:rsidRPr="00CD5E9F" w:rsidRDefault="00565BC1" w:rsidP="00CD5E9F">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7.6. Final compression</w:t>
      </w:r>
    </w:p>
    <w:p w14:paraId="527961B8"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final position of this paper is as follows.</w:t>
      </w:r>
    </w:p>
    <w:p w14:paraId="15A6B5D3"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Observation is bounded registration. It is broader than human perception and narrower than interaction. It is not a certificate of truth, consciousness by default, semantic interpretation by default, mere coupling, physical persistence, signal reception, or external readability.</w:t>
      </w:r>
    </w:p>
    <w:p w14:paraId="379A1B4C"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 finite observer does not possess reality as total state. It registers relation through bounded accessibility.</w:t>
      </w:r>
    </w:p>
    <w:p w14:paraId="2E15FC91"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observation event is OR. The observation record is RAS. Strong observation requires RSD.</w:t>
      </w:r>
    </w:p>
    <w:p w14:paraId="1C8704DE"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Pre-TO failure is below record-presence. TO is record-presence. OIP is grounded deployability. NTO is realised record-operativity.</w:t>
      </w:r>
    </w:p>
    <w:p w14:paraId="02D2895A"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An observer-locus is OIP-status. An Observer is realised NTO.</w:t>
      </w:r>
    </w:p>
    <w:p w14:paraId="61EBE6DC" w14:textId="77777777" w:rsidR="00565BC1" w:rsidRPr="00565BC1" w:rsidRDefault="00565BC1" w:rsidP="00CD5E9F">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Life entails observer-locus at the relevant reference scale. Observer-locus does not entail life. NTO does not entail life.</w:t>
      </w:r>
    </w:p>
    <w:p w14:paraId="3204635C"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Observation gives record-provenance, not automatic warrant.</w:t>
      </w:r>
    </w:p>
    <w:p w14:paraId="6D649E4E"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The next question is what follows from the fact that every such registration is abstracted.</w:t>
      </w:r>
    </w:p>
    <w:p w14:paraId="481A0707" w14:textId="77777777" w:rsidR="00565BC1" w:rsidRPr="00565BC1" w:rsidRDefault="00565BC1" w:rsidP="00CD5E9F">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565BC1">
        <w:rPr>
          <w:rFonts w:ascii="Times New Roman" w:hAnsi="Times New Roman" w:eastAsia="Times New Roman" w:cs="Times New Roman"/>
          <w:color w:val="000000"/>
          <w:kern w:val="0"/>
          <w:sz w:val="24"/>
          <w:szCs w:val="24"/>
          <w:lang w:eastAsia="en-GB"/>
          <w14:ligatures w14:val="none"/>
        </w:rPr>
        <w:t>That question is the limits of observation.</w:t>
      </w:r>
    </w:p>
    <w:p w14:paraId="16414A41" w14:textId="77777777" w:rsidR="00565BC1" w:rsidRPr="00565BC1" w:rsidRDefault="00565BC1" w:rsidP="00CD5E9F">
      <w:pPr>
        <w:pStyle w:val="GOTEndMatterHeading"/>
        <w:keepNext/>
        <w:keepLines/>
        <w:pageBreakBefore w:val="0"/>
        <w:widowControl/>
        <w:spacing w:before="360" w:after="120"/>
        <w:rPr>
          <w:rFonts w:ascii="Times New Roman" w:hAnsi="Times New Roman" w:eastAsia="Times New Roman" w:cs="Times New Roman"/>
          <w:b w:val="1"/>
          <w:bCs w:val="1"/>
          <w:color w:val="000000"/>
          <w:sz w:val="36"/>
          <w:szCs w:val="36"/>
        </w:rPr>
        <w:sectPr w:rsidR="00565BC1" w:rsidRPr="00565BC1">
          <w:headerReference w:type="default" r:id="rId6"/>
          <w:headerReference w:type="first" r:id="rId9"/>
          <w:footerReference w:type="default" r:id="rId7"/>
          <w:footerReference w:type="first" r:id="rId10"/>
          <w:endnotePr>
            <w:pos w:val="sectEnd"/>
            <w:numFmt w:val="decimal"/>
            <w:numStart w:val="1"/>
            <w:numRestart w:val="continuous"/>
          </w:endnotePr>
          <w:type w:val="continuous"/>
          <w:pgSz w:w="11906" w:h="16838"/>
          <w:pgMar w:top="1440" w:right="1440" w:bottom="1440" w:left="1440" w:header="709" w:footer="709" w:gutter="0"/>
          <w:pgNumType w:start="1" w:fmt="decimal"/>
          <w:cols w:num="1"/>
          <w:titlePg/>
          <w:docGrid w:linePitch="360"/>
        </w:sectPr>
      </w:pPr>
      <w:r>
        <w:rPr>
          <w:rFonts w:ascii="Times New Roman" w:hAnsi="Times New Roman" w:eastAsia="Times New Roman" w:cs="Times New Roman"/>
          <w:b w:val="1"/>
          <w:bCs w:val="1"/>
          <w:color w:val="000000"/>
          <w:sz w:val="36"/>
          <w:szCs w:val="36"/>
        </w:rPr>
      </w:r>
      <w:r>
        <w:rPr>
          <w:rFonts w:ascii="Times New Roman" w:hAnsi="Times New Roman" w:eastAsia="Times New Roman" w:cs="Times New Roman"/>
          <w:b w:val="1"/>
          <w:bCs w:val="1"/>
          <w:color w:val="000000"/>
          <w:sz w:val="36"/>
          <w:szCs w:val="36"/>
        </w:rPr>
        <w:t>Endnotes</w:t>
      </w:r>
    </w:p>
    <w:p>
      <w:pPr>
        <w:pStyle w:val="GOTEndMatterHeading"/>
        <w:keepNext/>
        <w:keepLines/>
        <w:pageBreakBefore w:val="0"/>
        <w:widowControl/>
        <w:spacing w:before="360" w:after="120"/>
        <w:rPr>
          <w:rFonts w:ascii="Times New Roman" w:hAnsi="Times New Roman" w:eastAsia="Times New Roman" w:cs="Times New Roman"/>
          <w:b w:val="1"/>
          <w:bCs w:val="1"/>
          <w:color w:val="000000"/>
          <w:sz w:val="36"/>
          <w:szCs w:val="36"/>
        </w:rPr>
      </w:pPr>
      <w:r>
        <w:rPr>
          <w:rFonts w:ascii="Times New Roman" w:hAnsi="Times New Roman" w:eastAsia="Times New Roman" w:cs="Times New Roman"/>
          <w:b w:val="1"/>
          <w:bCs w:val="1"/>
          <w:color w:val="000000"/>
          <w:sz w:val="36"/>
          <w:szCs w:val="36"/>
        </w:rPr>
        <w:t>References</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Bogen, J., &amp; Woodward, J. (1988). Saving the phenomena. The Philosophical Review, 97(3), 303-352. https://doi.org/10.2307/2185445</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Elshatlawy, H., Rickles, D., Arsiwalla, X. D., &amp; Blum, A. (2025). Towards a generalized theory of observers. arXiv:2504.16225. https://doi.org/10.48550/arXiv.2504.16225</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Hartle, J. B. (2021). What are the realities? arXiv:2112.10282. https://doi.org/10.48550/arXiv.2112.10282</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Maturana, H. R. (1970). Biology of cognition. Biological Computer Laboratory Research Report BCL 9.0, University of Illinois, Urbana. Reprinted in H. R. Maturana &amp; F. J. Varela (1980), Autopoiesis and Cognition: The Realization of the Living (pp. 5-58). D. Reidel.</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Pattee, H. H. (2001). The physics of symbols: Bridging the epistemic cut. BioSystems, 60(1-3), 5-21. https://doi.org/10.1016/S0303-2647(01)00104-6</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Shapere, D. (1982). The concept of observation in science and philosophy. Philosophy of Science, 49(4), 485-525. https://doi.org/10.1086/289075</w:t>
      </w:r>
    </w:p>
    <w:sectPr w:rsidR="00565BC1" w:rsidRPr="00565BC1">
      <w:headerReference w:type="default" r:id="rId12"/>
      <w:footerReference w:type="default" r:id="rId13"/>
      <w:endnotePr>
        <w:pos w:val="sectEnd"/>
        <w:numFmt w:val="decimal"/>
        <w:numRestart w:val="continuous"/>
      </w:endnotePr>
      <w:type w:val="continuous"/>
      <w:pgSz w:w="11906" w:h="16838"/>
      <w:pgMar w:top="1440" w:right="1440" w:bottom="1440" w:left="1440" w:header="709" w:footer="709" w:gutter="0"/>
      <w:cols w:num="1"/>
      <w:docGrid w:linePitch="360"/>
    </w:sectPr>
  </w:body>
</w:document>
</file>

<file path=word/endnotes.xml><?xml version="1.0" encoding="utf-8"?>
<w:endnotes xmlns:w="http://schemas.openxmlformats.org/wordprocessingml/2006/main">
  <w:endnote w:id="-1" w:type="separator">
    <w:p>
      <w:pPr>
        <w:spacing w:before="0" w:after="0" w:line="20" w:lineRule="exact"/>
      </w:pPr>
    </w:p>
  </w:endnote>
  <w:endnote w:id="0" w:type="continuationSeparator">
    <w:p>
      <w:pPr>
        <w:spacing w:before="0" w:after="0" w:line="20" w:lineRule="exact"/>
      </w:pPr>
    </w:p>
  </w:endnote>
  <w:endnote w:id="1">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Historical/scientific comparator: Dudley Shapere, "The Concept of Observation in Science and Philosophy" (1982), argues from sophisticated scientific instrumentation that observation cannot be identified simply with ordinary perception and depends on technically mediated access plus background information. The present paper generalises below scientific practice: bounded registration is defined through RRP/OP/OA/OR/RAS conditions and does not inherit Shapere's philosophical account as a technical dependency.</w:t>
      </w:r>
    </w:p>
  </w:endnote>
  <w:endnote w:id="2">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Comparator: James Bogen and James Woodward, "Saving the Phenomena" (1988), distinguish experimental data from the phenomena scientists infer or explain, thereby resisting the collapse of produced records into the stronger claims those records support. The present paper uses a different and more primitive architecture: observation establishes bounded record-provenance at OR/RAS, while truth, warrant, objectivity, and adequacy remain further evaluative questions. No data/phenomena framework is inherited.</w:t>
      </w:r>
    </w:p>
  </w:endnote>
  <w:endnote w:id="3">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Observer-architecture comparator: James B. Hartle, "What are the Realities" (2021), develops information-gathering and utilising systems (IGUSes) as non-conscious observer-like organisations that gather, store, process, and use information through memory, models, decisions, and behaviour. The present paper decomposes that stronger bundle: TO is record-presence, OIP is grounded consultability, and NTO is realised record-operativity. Hartle's IGUS is therefore a neighbouring observer architecture, not the source of the status ladder.</w:t>
      </w:r>
    </w:p>
  </w:endnote>
  <w:endnote w:id="4">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Opposing threshold comparator: Hatem Elshatlawy, Dean Rickles, Xerxes D. Arsiwalla, and Alexander Blum, "Towards a Generalized Theory of Observers" (2025), define a minimal observer through bounded internal state, sensing, state transition, output/action, and feedback, with the thermostat as a formal example. The present paper draws the threshold differently: persistent OA-keyed record-presence is required for TO, while action or downstream use is not required until stronger statuses. A reactive sensor-actuator system can therefore qualify under their minimal criterion while remaining Pre-TO here, and a retained TO record need not satisfy their active observer criterion. The relation is a genuine comparator, not inheritance.</w:t>
      </w:r>
    </w:p>
  </w:endnote>
  <w:endnote w:id="5">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Biological-cognition comparators: Humberto R. Maturana, "Biology of Cognition" (1970), identifies cognition with the organisation of living systems rather than restricting it to human minds, while Howard H. Pattee, "The Physics of Symbols: Bridging the Epistemic Cut" (2001), connects biological organisation to measurement, control, memory, and an epistemic cut between symbolic constraints and dynamics. Both are important precursors to non-anthropocentric epistemic capacity. The present claim is narrower and differently structured: life entails observer-locus because the Part 1 life discriminator requires observation-capable registration/retention pathways supporting distinction-conditioned maintenance. It does not inherit Maturana's autopoietic/cognitive identity or Pattee's symbol/code architecture.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r>
      <w:rPr>
        <w:rFonts w:ascii="Times New Roman" w:hAnsi="Times New Roman" w:eastAsia="Times New Roman" w:cs="Times New Roman"/>
        <w:b w:val="0"/>
        <w:bCs w:val="0"/>
        <w:color w:val="000000"/>
        <w:sz w:val="18"/>
        <w:szCs w:val="18"/>
      </w:rPr>
      <w:t xml:space="preserve">GOT-V1-2b-4</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r>
      <w:rPr>
        <w:rFonts w:ascii="Times New Roman" w:hAnsi="Times New Roman" w:eastAsia="Times New Roman" w:cs="Times New Roman"/>
        <w:b w:val="0"/>
        <w:bCs w:val="0"/>
        <w:color w:val="000000"/>
        <w:sz w:val="18"/>
        <w:szCs w:val="18"/>
      </w:rPr>
      <w:t xml:space="preserve">GOT-V1-2b-4</w:t>
    </w:r>
  </w:p>
</w:hdr>
</file>

<file path=word/numbering.xml><?xml version="1.0" encoding="utf-8"?>
<w:numbering xmlns:w="http://schemas.openxmlformats.org/wordprocessingml/2006/main">
  <w:abstractNum w:abstractNumId="1">
    <w:nsid w:val="47000001"/>
    <w:multiLevelType w:val="multilevel"/>
    <w:lvl w:ilvl="0">
      <w:start w:val="1"/>
      <w:numFmt w:val="decimal"/>
      <w:pStyle w:val="Heading1"/>
      <w:suff w:val="tab"/>
      <w:lvlText w:val="%1."/>
      <w:lvlJc w:val="left"/>
      <w:pPr>
        <w:tabs>
          <w:tab w:val="num" w:pos="420"/>
        </w:tabs>
        <w:ind w:left="420" w:hanging="420"/>
      </w:pPr>
      <w:rPr>
        <w:rFonts w:ascii="Times New Roman" w:hAnsi="Times New Roman" w:eastAsia="Times New Roman" w:cs="Times New Roman"/>
        <w:b w:val="1"/>
        <w:bCs w:val="1"/>
        <w:color w:val="000000"/>
        <w:sz w:val="36"/>
        <w:szCs w:val="36"/>
      </w:rPr>
    </w:lvl>
    <w:lvl w:ilvl="1">
      <w:start w:val="1"/>
      <w:numFmt w:val="decimal"/>
      <w:lvlRestart w:val="1"/>
      <w:pStyle w:val="Heading2"/>
      <w:suff w:val="tab"/>
      <w:lvlText w:val="%1.%2"/>
      <w:lvlJc w:val="left"/>
      <w:pPr>
        <w:tabs>
          <w:tab w:val="num" w:pos="600"/>
        </w:tabs>
        <w:ind w:left="600" w:hanging="600"/>
      </w:pPr>
      <w:rPr>
        <w:rFonts w:ascii="Times New Roman" w:hAnsi="Times New Roman" w:eastAsia="Times New Roman" w:cs="Times New Roman"/>
        <w:b w:val="1"/>
        <w:bCs w:val="1"/>
        <w:color w:val="000000"/>
        <w:sz w:val="27"/>
        <w:szCs w:val="27"/>
      </w:rPr>
    </w:lvl>
    <w:lvl w:ilvl="2">
      <w:start w:val="1"/>
      <w:numFmt w:val="decimal"/>
      <w:lvlRestart w:val="2"/>
      <w:pStyle w:val="Heading3"/>
      <w:suff w:val="tab"/>
      <w:lvlText w:val="%1.%2.%3"/>
      <w:lvlJc w:val="left"/>
      <w:pPr>
        <w:tabs>
          <w:tab w:val="num" w:pos="800"/>
        </w:tabs>
        <w:ind w:left="800" w:hanging="800"/>
      </w:pPr>
      <w:rPr>
        <w:rFonts w:ascii="Times New Roman" w:hAnsi="Times New Roman" w:eastAsia="Times New Roman" w:cs="Times New Roman"/>
        <w:b w:val="1"/>
        <w:bCs w:val="1"/>
        <w:color w:val="000000"/>
        <w:sz w:val="24"/>
        <w:szCs w:val="24"/>
      </w:rPr>
    </w:lvl>
    <w:lvl w:ilvl="3">
      <w:start w:val="1"/>
      <w:numFmt w:val="lowerLetter"/>
      <w:lvlRestart w:val="3"/>
      <w:pStyle w:val="Heading4"/>
      <w:suff w:val="tab"/>
      <w:lvlText w:val="%1.%2.%3%4"/>
      <w:lvlJc w:val="left"/>
      <w:pPr>
        <w:tabs>
          <w:tab w:val="num" w:pos="1000"/>
        </w:tabs>
        <w:ind w:left="1000" w:hanging="1000"/>
      </w:pPr>
      <w:rPr>
        <w:rFonts w:ascii="Times New Roman" w:hAnsi="Times New Roman" w:eastAsia="Times New Roman" w:cs="Times New Roman"/>
        <w:b w:val="1"/>
        <w:bCs w:val="1"/>
        <w:color w:val="000000"/>
        <w:sz w:val="24"/>
        <w:szCs w:val="24"/>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updateFields w:val="true"/>
  <w:endnotePr>
    <w:pos w:val="sectEnd"/>
    <w:numFmt w:val="decimal"/>
    <w:numStart w:val="1"/>
    <w:numRestart w:val="continuous"/>
    <w:endnote w:id="-1"/>
    <w:endnote w:id="0"/>
  </w:endnotePr>
  <w:rsids>
    <w:rsidRoot w:val="00565BC1"/>
    <w:rsid w:val="000643CA"/>
    <w:rsid w:val="001F6CFB"/>
    <w:rsid w:val="002F43D4"/>
    <w:rsid w:val="004E2F51"/>
    <w:rsid w:val="00565BC1"/>
    <w:rsid w:val="0099211C"/>
    <w:rsid w:val="00AA5412"/>
    <w:rsid w:val="00B72239"/>
    <w:rsid w:val="00C55C8F"/>
    <w:rsid w:val="00CD5E9F"/>
    <w:rsid w:val="00D26968"/>
    <w:rsid w:val="00F76E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076C6"/>
  <w15:chartTrackingRefBased/>
  <w15:docId w15:val="{F6E518CE-798B-824C-AC74-167DFD309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Next w:val="0"/>
      <w:keepLines w:val="0"/>
      <w:pageBreakBefore w:val="0"/>
      <w:widowControl/>
      <w:spacing w:line="240" w:lineRule="auto" w:before="0" w:after="120"/>
      <w:ind w:left="0" w:right="0" w:firstLine="0"/>
      <w:jc w:val="both"/>
      <w:outlineLvl w:val="9"/>
    </w:pPr>
    <w:rPr>
      <w:rFonts w:ascii="Times New Roman" w:hAnsi="Times New Roman" w:eastAsia="Times New Roman" w:cs="Times New Roman"/>
      <w:b w:val="0"/>
      <w:bCs w:val="0"/>
      <w:color w:val="000000"/>
      <w:sz w:val="24"/>
      <w:szCs w:val="24"/>
    </w:rPr>
  </w:style>
  <w:style w:type="paragraph" w:styleId="Heading1">
    <w:name w:val="heading 1"/>
    <w:basedOn w:val="Normal"/>
    <w:next w:val="Normal"/>
    <w:link w:val="Heading1Char"/>
    <w:uiPriority w:val="9"/>
    <w:qFormat/>
    <w:rsid w:val="00565BC1"/>
    <w:pPr>
      <w:keepNext/>
      <w:keepLines/>
      <w:pageBreakBefore w:val="0"/>
      <w:widowControl/>
      <w:numPr>
        <w:ilvl w:val="0"/>
        <w:numId w:val="1"/>
      </w:numPr>
      <w:spacing w:line="240" w:lineRule="auto" w:before="0" w:after="120"/>
      <w:ind w:left="0" w:right="0" w:firstLine="0"/>
      <w:jc w:val="left"/>
      <w:outlineLvl w:val="0"/>
    </w:pPr>
    <w:rPr>
      <w:rFonts w:ascii="Times New Roman" w:hAnsi="Times New Roman" w:eastAsia="Times New Roman" w:cs="Times New Roman"/>
      <w:b w:val="1"/>
      <w:bCs w:val="1"/>
      <w:color w:val="000000"/>
      <w:sz w:val="36"/>
      <w:szCs w:val="36"/>
    </w:rPr>
  </w:style>
  <w:style w:type="paragraph" w:styleId="Heading2">
    <w:name w:val="heading 2"/>
    <w:basedOn w:val="Normal"/>
    <w:next w:val="Normal"/>
    <w:link w:val="Heading2Char"/>
    <w:uiPriority w:val="9"/>
    <w:unhideWhenUsed/>
    <w:qFormat/>
    <w:rsid w:val="00565BC1"/>
    <w:pPr>
      <w:keepNext/>
      <w:keepLines/>
      <w:pageBreakBefore w:val="0"/>
      <w:widowControl/>
      <w:numPr>
        <w:ilvl w:val="1"/>
        <w:numId w:val="1"/>
      </w:numPr>
      <w:spacing w:line="240" w:lineRule="auto" w:before="480" w:after="120"/>
      <w:ind w:left="0" w:right="0" w:firstLine="0"/>
      <w:jc w:val="left"/>
      <w:outlineLvl w:val="1"/>
    </w:pPr>
    <w:rPr>
      <w:rFonts w:ascii="Times New Roman" w:hAnsi="Times New Roman" w:eastAsia="Times New Roman" w:cs="Times New Roman"/>
      <w:b w:val="1"/>
      <w:bCs w:val="1"/>
      <w:color w:val="000000"/>
      <w:sz w:val="27"/>
      <w:szCs w:val="27"/>
    </w:rPr>
  </w:style>
  <w:style w:type="paragraph" w:styleId="Heading3">
    <w:name w:val="heading 3"/>
    <w:basedOn w:val="Normal"/>
    <w:next w:val="Normal"/>
    <w:link w:val="Heading3Char"/>
    <w:uiPriority w:val="9"/>
    <w:semiHidden/>
    <w:unhideWhenUsed/>
    <w:qFormat/>
    <w:rsid w:val="00565BC1"/>
    <w:pPr>
      <w:keepNext/>
      <w:keepLines/>
      <w:pageBreakBefore w:val="0"/>
      <w:widowControl/>
      <w:numPr>
        <w:ilvl w:val="2"/>
        <w:numId w:val="1"/>
      </w:numPr>
      <w:spacing w:line="240" w:lineRule="auto" w:before="420" w:after="60"/>
      <w:ind w:left="0" w:right="0" w:firstLine="0"/>
      <w:jc w:val="left"/>
      <w:outlineLvl w:val="2"/>
    </w:pPr>
    <w:rPr>
      <w:rFonts w:ascii="Times New Roman" w:hAnsi="Times New Roman" w:eastAsia="Times New Roman" w:cs="Times New Roman"/>
      <w:b w:val="1"/>
      <w:bCs w:val="1"/>
      <w:color w:val="000000"/>
      <w:sz w:val="24"/>
      <w:szCs w:val="24"/>
    </w:rPr>
  </w:style>
  <w:style w:type="paragraph" w:styleId="Heading4">
    <w:name w:val="heading 4"/>
    <w:basedOn w:val="Normal"/>
    <w:next w:val="Normal"/>
    <w:link w:val="Heading4Char"/>
    <w:uiPriority w:val="9"/>
    <w:semiHidden/>
    <w:unhideWhenUsed/>
    <w:qFormat/>
    <w:rsid w:val="00565BC1"/>
    <w:pPr>
      <w:keepNext/>
      <w:keepLines/>
      <w:pageBreakBefore w:val="0"/>
      <w:widowControl/>
      <w:numPr>
        <w:ilvl w:val="3"/>
        <w:numId w:val="1"/>
      </w:numPr>
      <w:spacing w:line="240" w:lineRule="auto" w:before="420" w:after="60"/>
      <w:ind w:left="0" w:right="0" w:firstLine="0"/>
      <w:jc w:val="left"/>
      <w:outlineLvl w:val="3"/>
    </w:pPr>
    <w:rPr>
      <w:rFonts w:ascii="Times New Roman" w:hAnsi="Times New Roman" w:eastAsia="Times New Roman" w:cs="Times New Roman"/>
      <w:b w:val="1"/>
      <w:bCs w:val="1"/>
      <w:color w:val="000000"/>
      <w:sz w:val="24"/>
      <w:szCs w:val="24"/>
    </w:rPr>
  </w:style>
  <w:style w:type="paragraph" w:styleId="Heading5">
    <w:name w:val="heading 5"/>
    <w:basedOn w:val="Normal"/>
    <w:next w:val="Normal"/>
    <w:link w:val="Heading5Char"/>
    <w:uiPriority w:val="9"/>
    <w:semiHidden/>
    <w:unhideWhenUsed/>
    <w:qFormat/>
    <w:rsid w:val="00565BC1"/>
    <w:pPr>
      <w:keepNext/>
      <w:keepLines/>
      <w:spacing w:before="80" w:after="4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565BC1"/>
    <w:pPr>
      <w:keepNext/>
      <w:keepLines/>
      <w:spacing w:before="4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565BC1"/>
    <w:pPr>
      <w:keepNext/>
      <w:keepLines/>
      <w:spacing w:before="40" w:after="0"/>
      <w:outlineLvl w:val="6"/>
    </w:pPr>
    <w:rPr>
      <w:rFonts w:ascii="Times New Roman" w:hAnsi="Times New Roman" w:eastAsia="Times New Roman" w:cs="Times New Roman"/>
      <w:color w:val="000000"/>
    </w:rPr>
  </w:style>
  <w:style w:type="paragraph" w:styleId="Heading8">
    <w:name w:val="heading 8"/>
    <w:basedOn w:val="Normal"/>
    <w:next w:val="Normal"/>
    <w:link w:val="Heading8Char"/>
    <w:uiPriority w:val="9"/>
    <w:semiHidden/>
    <w:unhideWhenUsed/>
    <w:qFormat/>
    <w:rsid w:val="00565BC1"/>
    <w:pPr>
      <w:keepNext/>
      <w:keepLines/>
      <w:spacing w:after="0"/>
      <w:outlineLvl w:val="7"/>
    </w:pPr>
    <w:rPr>
      <w:rFonts w:ascii="Times New Roman" w:hAnsi="Times New Roman" w:eastAsia="Times New Roman" w:cs="Times New Roman"/>
      <w:i/>
      <w:iCs/>
      <w:color w:val="000000"/>
    </w:rPr>
  </w:style>
  <w:style w:type="paragraph" w:styleId="Heading9">
    <w:name w:val="heading 9"/>
    <w:basedOn w:val="Normal"/>
    <w:next w:val="Normal"/>
    <w:link w:val="Heading9Char"/>
    <w:uiPriority w:val="9"/>
    <w:semiHidden/>
    <w:unhideWhenUsed/>
    <w:qFormat/>
    <w:rsid w:val="00565BC1"/>
    <w:pPr>
      <w:keepNext/>
      <w:keepLines/>
      <w:spacing w:after="0"/>
      <w:outlineLvl w:val="8"/>
    </w:pPr>
    <w:rPr>
      <w:rFonts w:ascii="Times New Roman" w:hAnsi="Times New Roman" w:eastAsia="Times New Roman" w:cs="Times New Roman"/>
      <w:color w:val="00000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rPr>
      <w:rFonts w:ascii="Times New Roman" w:hAnsi="Times New Roman" w:eastAsia="Times New Roman" w:cs="Times New Roman"/>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565BC1"/>
    <w:rPr>
      <w:rFonts w:ascii="Times New Roman" w:hAnsi="Times New Roman" w:eastAsia="Times New Roman" w:cs="Times New Roman"/>
      <w:color w:val="000000"/>
      <w:sz w:val="40"/>
      <w:szCs w:val="40"/>
    </w:rPr>
  </w:style>
  <w:style w:type="character" w:customStyle="1" w:styleId="Heading2Char">
    <w:name w:val="Heading 2 Char"/>
    <w:basedOn w:val="DefaultParagraphFont"/>
    <w:link w:val="Heading2"/>
    <w:uiPriority w:val="9"/>
    <w:rsid w:val="00565BC1"/>
    <w:rPr>
      <w:rFonts w:ascii="Times New Roman" w:hAnsi="Times New Roman" w:eastAsia="Times New Roman" w:cs="Times New Roman"/>
      <w:color w:val="000000"/>
      <w:sz w:val="32"/>
      <w:szCs w:val="32"/>
    </w:rPr>
  </w:style>
  <w:style w:type="character" w:customStyle="1" w:styleId="Heading3Char">
    <w:name w:val="Heading 3 Char"/>
    <w:basedOn w:val="DefaultParagraphFont"/>
    <w:link w:val="Heading3"/>
    <w:uiPriority w:val="9"/>
    <w:semiHidden/>
    <w:rsid w:val="00565BC1"/>
    <w:rPr>
      <w:rFonts w:ascii="Times New Roman" w:hAnsi="Times New Roman" w:eastAsia="Times New Roman" w:cs="Times New Roman"/>
      <w:color w:val="000000"/>
      <w:sz w:val="28"/>
      <w:szCs w:val="28"/>
    </w:rPr>
  </w:style>
  <w:style w:type="character" w:customStyle="1" w:styleId="Heading4Char">
    <w:name w:val="Heading 4 Char"/>
    <w:basedOn w:val="DefaultParagraphFont"/>
    <w:link w:val="Heading4"/>
    <w:uiPriority w:val="9"/>
    <w:semiHidden/>
    <w:rsid w:val="00565BC1"/>
    <w:rPr>
      <w:rFonts w:ascii="Times New Roman" w:hAnsi="Times New Roman" w:eastAsia="Times New Roman" w:cs="Times New Roman"/>
      <w:i/>
      <w:iCs/>
      <w:color w:val="000000"/>
    </w:rPr>
  </w:style>
  <w:style w:type="character" w:customStyle="1" w:styleId="Heading5Char">
    <w:name w:val="Heading 5 Char"/>
    <w:basedOn w:val="DefaultParagraphFont"/>
    <w:link w:val="Heading5"/>
    <w:uiPriority w:val="9"/>
    <w:semiHidden/>
    <w:rsid w:val="00565BC1"/>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565BC1"/>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565BC1"/>
    <w:rPr>
      <w:rFonts w:ascii="Times New Roman" w:hAnsi="Times New Roman" w:eastAsia="Times New Roman" w:cs="Times New Roman"/>
      <w:color w:val="000000"/>
    </w:rPr>
  </w:style>
  <w:style w:type="character" w:customStyle="1" w:styleId="Heading8Char">
    <w:name w:val="Heading 8 Char"/>
    <w:basedOn w:val="DefaultParagraphFont"/>
    <w:link w:val="Heading8"/>
    <w:uiPriority w:val="9"/>
    <w:semiHidden/>
    <w:rsid w:val="00565BC1"/>
    <w:rPr>
      <w:rFonts w:ascii="Times New Roman" w:hAnsi="Times New Roman" w:eastAsia="Times New Roman" w:cs="Times New Roman"/>
      <w:i/>
      <w:iCs/>
      <w:color w:val="000000"/>
    </w:rPr>
  </w:style>
  <w:style w:type="character" w:customStyle="1" w:styleId="Heading9Char">
    <w:name w:val="Heading 9 Char"/>
    <w:basedOn w:val="DefaultParagraphFont"/>
    <w:link w:val="Heading9"/>
    <w:uiPriority w:val="9"/>
    <w:semiHidden/>
    <w:rsid w:val="00565BC1"/>
    <w:rPr>
      <w:rFonts w:ascii="Times New Roman" w:hAnsi="Times New Roman" w:eastAsia="Times New Roman" w:cs="Times New Roman"/>
      <w:color w:val="000000"/>
    </w:rPr>
  </w:style>
  <w:style w:type="paragraph" w:styleId="Title">
    <w:name w:val="Title"/>
    <w:basedOn w:val="Normal"/>
    <w:next w:val="Normal"/>
    <w:link w:val="TitleChar"/>
    <w:uiPriority w:val="10"/>
    <w:qFormat/>
    <w:rsid w:val="00565BC1"/>
    <w:pPr>
      <w:keepNext/>
      <w:keepLines/>
      <w:pageBreakBefore w:val="0"/>
      <w:widowControl/>
      <w:spacing w:line="240" w:lineRule="auto" w:before="0" w:after="120"/>
      <w:ind w:left="0" w:right="0" w:firstLine="0"/>
      <w:jc w:val="center"/>
    </w:pPr>
    <w:rPr>
      <w:rFonts w:ascii="Times New Roman" w:hAnsi="Times New Roman" w:eastAsia="Times New Roman" w:cs="Times New Roman"/>
      <w:b/>
      <w:bCs w:val="1"/>
      <w:color w:val="000000"/>
      <w:sz w:val="48"/>
      <w:szCs w:val="48"/>
    </w:rPr>
  </w:style>
  <w:style w:type="character" w:customStyle="1" w:styleId="TitleChar">
    <w:name w:val="Title Char"/>
    <w:basedOn w:val="DefaultParagraphFont"/>
    <w:link w:val="Title"/>
    <w:uiPriority w:val="10"/>
    <w:rsid w:val="00565BC1"/>
    <w:rPr>
      <w:rFonts w:ascii="Times New Roman" w:hAnsi="Times New Roman" w:eastAsia="Times New Roman" w:cs="Times New Roman"/>
      <w:color w:val="000000"/>
      <w:spacing w:val="-10"/>
      <w:kern w:val="28"/>
      <w:sz w:val="56"/>
      <w:szCs w:val="56"/>
    </w:rPr>
  </w:style>
  <w:style w:type="paragraph" w:styleId="Subtitle">
    <w:name w:val="Subtitle"/>
    <w:basedOn w:val="Normal"/>
    <w:next w:val="Normal"/>
    <w:link w:val="SubtitleChar"/>
    <w:uiPriority w:val="11"/>
    <w:qFormat/>
    <w:rsid w:val="00565BC1"/>
    <w:pPr>
      <w:keepNext/>
      <w:keepLines/>
      <w:pageBreakBefore w:val="0"/>
      <w:widowControl/>
      <w:spacing w:line="240" w:lineRule="auto" w:before="0" w:after="120"/>
      <w:ind w:left="0" w:right="0" w:firstLine="0"/>
      <w:jc w:val="center"/>
    </w:pPr>
    <w:rPr>
      <w:rFonts w:ascii="Times New Roman" w:hAnsi="Times New Roman" w:eastAsia="Times New Roman" w:cs="Times New Roman"/>
      <w:b w:val="0"/>
      <w:bCs w:val="0"/>
      <w:color w:val="000000"/>
      <w:sz w:val="24"/>
      <w:szCs w:val="24"/>
    </w:rPr>
  </w:style>
  <w:style w:type="character" w:customStyle="1" w:styleId="SubtitleChar">
    <w:name w:val="Subtitle Char"/>
    <w:basedOn w:val="DefaultParagraphFont"/>
    <w:link w:val="Subtitle"/>
    <w:uiPriority w:val="11"/>
    <w:rsid w:val="00565BC1"/>
    <w:rPr>
      <w:rFonts w:ascii="Times New Roman" w:hAnsi="Times New Roman" w:eastAsia="Times New Roman" w:cs="Times New Roman"/>
      <w:color w:val="000000"/>
      <w:spacing w:val="15"/>
      <w:sz w:val="28"/>
      <w:szCs w:val="28"/>
    </w:rPr>
  </w:style>
  <w:style w:type="paragraph" w:styleId="Quote">
    <w:name w:val="Quote"/>
    <w:basedOn w:val="Normal"/>
    <w:next w:val="Normal"/>
    <w:link w:val="QuoteChar"/>
    <w:uiPriority w:val="29"/>
    <w:qFormat/>
    <w:rsid w:val="00565BC1"/>
    <w:pPr>
      <w:spacing w:before="160"/>
      <w:jc w:val="center"/>
    </w:pPr>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565BC1"/>
    <w:rPr>
      <w:rFonts w:ascii="Times New Roman" w:hAnsi="Times New Roman" w:eastAsia="Times New Roman" w:cs="Times New Roman"/>
      <w:i/>
      <w:iCs/>
      <w:color w:val="000000"/>
    </w:rPr>
  </w:style>
  <w:style w:type="paragraph" w:styleId="ListParagraph">
    <w:name w:val="List Paragraph"/>
    <w:basedOn w:val="Normal"/>
    <w:uiPriority w:val="34"/>
    <w:qFormat/>
    <w:rsid w:val="00565BC1"/>
    <w:pPr>
      <w:keepNext w:val="0"/>
      <w:keepLines w:val="0"/>
      <w:pageBreakBefore w:val="0"/>
      <w:widowControl/>
      <w:spacing w:line="240" w:lineRule="auto" w:before="0" w:after="60"/>
      <w:ind w:left="567" w:right="0" w:hanging="283"/>
      <w:jc w:val="left"/>
    </w:pPr>
    <w:rPr>
      <w:rFonts w:ascii="Times New Roman" w:hAnsi="Times New Roman" w:eastAsia="Times New Roman" w:cs="Times New Roman"/>
      <w:b w:val="0"/>
      <w:bCs w:val="0"/>
      <w:color w:val="000000"/>
      <w:sz w:val="24"/>
      <w:szCs w:val="24"/>
    </w:rPr>
  </w:style>
  <w:style w:type="character" w:styleId="IntenseEmphasis">
    <w:name w:val="Intense Emphasis"/>
    <w:basedOn w:val="DefaultParagraphFont"/>
    <w:uiPriority w:val="21"/>
    <w:qFormat/>
    <w:rsid w:val="00565BC1"/>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565BC1"/>
    <w:pPr>
      <w:pBdr>
        <w:top w:val="single" w:sz="4" w:space="10" w:color="0F4761" w:themeColor="accent1" w:themeShade="BF"/>
        <w:bottom w:val="single" w:sz="4" w:space="10" w:color="0F4761" w:themeColor="accent1" w:themeShade="BF"/>
      </w:pBdr>
      <w:spacing w:before="360" w:after="360"/>
      <w:ind w:left="864" w:right="864"/>
      <w:jc w:val="center"/>
    </w:pPr>
    <w:rPr>
      <w:rFonts w:ascii="Times New Roman" w:hAnsi="Times New Roman" w:eastAsia="Times New Roman" w:cs="Times New Roman"/>
      <w:i/>
      <w:iCs/>
      <w:color w:val="000000"/>
    </w:rPr>
  </w:style>
  <w:style w:type="character" w:customStyle="1" w:styleId="IntenseQuoteChar">
    <w:name w:val="Intense Quote Char"/>
    <w:basedOn w:val="DefaultParagraphFont"/>
    <w:link w:val="IntenseQuote"/>
    <w:uiPriority w:val="30"/>
    <w:rsid w:val="00565BC1"/>
    <w:rPr>
      <w:rFonts w:ascii="Times New Roman" w:hAnsi="Times New Roman" w:eastAsia="Times New Roman" w:cs="Times New Roman"/>
      <w:i/>
      <w:iCs/>
      <w:color w:val="000000"/>
    </w:rPr>
  </w:style>
  <w:style w:type="character" w:styleId="IntenseReference">
    <w:name w:val="Intense Reference"/>
    <w:basedOn w:val="DefaultParagraphFont"/>
    <w:uiPriority w:val="32"/>
    <w:qFormat/>
    <w:rsid w:val="00565BC1"/>
    <w:rPr>
      <w:rFonts w:ascii="Times New Roman" w:hAnsi="Times New Roman" w:eastAsia="Times New Roman" w:cs="Times New Roman"/>
      <w:b/>
      <w:bCs/>
      <w:smallCaps/>
      <w:color w:val="000000"/>
      <w:spacing w:val="5"/>
    </w:rPr>
  </w:style>
  <w:style w:type="paragraph" w:styleId="NormalWeb">
    <w:name w:val="Normal (Web)"/>
    <w:basedOn w:val="Normal"/>
    <w:uiPriority w:val="99"/>
    <w:semiHidden/>
    <w:unhideWhenUsed/>
    <w:rsid w:val="00565BC1"/>
    <w:pPr>
      <w:spacing w:before="100" w:beforeAutospacing="1" w:after="100" w:afterAutospacing="1" w:line="240" w:lineRule="auto"/>
    </w:pPr>
    <w:rPr>
      <w:rFonts w:ascii="Times New Roman" w:hAnsi="Times New Roman" w:eastAsia="Times New Roman" w:cs="Times New Roman"/>
      <w:color w:val="000000"/>
      <w:kern w:val="0"/>
      <w:lang w:eastAsia="en-GB"/>
      <w14:ligatures w14:val="none"/>
    </w:rPr>
  </w:style>
  <w:style w:type="paragraph" w:customStyle="1" w:styleId="DocumentIdentifier">
    <w:name w:val="Document Identifier"/>
    <w:basedOn w:val="Normal"/>
    <w:pPr>
      <w:keepNext/>
      <w:keepLines/>
      <w:pageBreakBefore w:val="0"/>
      <w:widowControl/>
      <w:spacing w:line="240" w:lineRule="auto" w:before="0" w:after="120"/>
      <w:ind w:left="0" w:right="0" w:firstLine="0"/>
      <w:jc w:val="center"/>
    </w:pPr>
    <w:rPr>
      <w:rFonts w:ascii="Times New Roman" w:hAnsi="Times New Roman" w:eastAsia="Times New Roman" w:cs="Times New Roman"/>
      <w:b w:val="0"/>
      <w:bCs w:val="0"/>
      <w:color w:val="000000"/>
      <w:sz w:val="20"/>
      <w:szCs w:val="20"/>
    </w:rPr>
  </w:style>
  <w:style w:type="paragraph" w:customStyle="1" w:styleId="AbstractHeading">
    <w:name w:val="Abstract Heading"/>
    <w:basedOn w:val="Normal"/>
    <w:pPr>
      <w:keepNext/>
      <w:keepLines/>
      <w:pageBreakBefore w:val="0"/>
      <w:widowControl/>
      <w:spacing w:line="240" w:lineRule="auto" w:before="0" w:after="120"/>
      <w:ind w:left="0" w:right="0" w:firstLine="0"/>
      <w:jc w:val="left"/>
    </w:pPr>
    <w:rPr>
      <w:rFonts w:ascii="Times New Roman" w:hAnsi="Times New Roman" w:eastAsia="Times New Roman" w:cs="Times New Roman"/>
      <w:b/>
      <w:bCs w:val="1"/>
      <w:color w:val="000000"/>
      <w:sz w:val="36"/>
      <w:szCs w:val="36"/>
    </w:rPr>
  </w:style>
  <w:style w:type="paragraph" w:customStyle="1" w:styleId="EndMatterHeading">
    <w:name w:val="End Matter Heading"/>
    <w:basedOn w:val="Normal"/>
    <w:pPr>
      <w:keepNext/>
      <w:keepLines/>
      <w:pageBreakBefore w:val="0"/>
      <w:widowControl/>
      <w:spacing w:line="240" w:lineRule="auto" w:before="360" w:after="120"/>
      <w:ind w:left="0" w:right="0" w:firstLine="0"/>
      <w:jc w:val="left"/>
    </w:pPr>
    <w:rPr>
      <w:rFonts w:ascii="Times New Roman" w:hAnsi="Times New Roman" w:eastAsia="Times New Roman" w:cs="Times New Roman"/>
      <w:b/>
      <w:bCs w:val="1"/>
      <w:color w:val="000000"/>
      <w:sz w:val="36"/>
      <w:szCs w:val="36"/>
    </w:rPr>
  </w:style>
  <w:style w:type="paragraph" w:customStyle="1" w:styleId="EndnoteText">
    <w:name w:val="Endnote Text"/>
    <w:basedOn w:val="Normal"/>
    <w:pPr>
      <w:keepNext w:val="0"/>
      <w:keepLines w:val="0"/>
      <w:pageBreakBefore w:val="0"/>
      <w:widowControl/>
      <w:spacing w:line="240" w:lineRule="auto" w:before="0" w:after="100"/>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ReferenceEntry">
    <w:name w:val="Reference Entry"/>
    <w:basedOn w:val="Normal"/>
    <w:pPr>
      <w:keepNext w:val="0"/>
      <w:keepLines w:val="0"/>
      <w:pageBreakBefore w:val="0"/>
      <w:widowControl/>
      <w:spacing w:line="240" w:lineRule="auto" w:before="0" w:after="100"/>
      <w:ind w:left="425" w:right="0" w:hanging="425"/>
      <w:jc w:val="left"/>
    </w:pPr>
    <w:rPr>
      <w:rFonts w:ascii="Times New Roman" w:hAnsi="Times New Roman" w:eastAsia="Times New Roman" w:cs="Times New Roman"/>
      <w:b w:val="0"/>
      <w:bCs w:val="0"/>
      <w:color w:val="000000"/>
      <w:sz w:val="20"/>
      <w:szCs w:val="20"/>
    </w:rPr>
  </w:style>
  <w:style w:type="paragraph" w:customStyle="1" w:styleId="ComponentLabel">
    <w:name w:val="Component Label"/>
    <w:basedOn w:val="Normal"/>
    <w:pPr>
      <w:keepNext/>
      <w:keepLines/>
      <w:pageBreakBefore w:val="0"/>
      <w:widowControl/>
      <w:spacing w:line="240" w:lineRule="auto" w:before="120" w:after="60"/>
      <w:ind w:left="0" w:right="0" w:firstLine="0"/>
      <w:jc w:val="left"/>
    </w:pPr>
    <w:rPr>
      <w:rFonts w:ascii="Times New Roman" w:hAnsi="Times New Roman" w:eastAsia="Times New Roman" w:cs="Times New Roman"/>
      <w:b w:val="1"/>
      <w:bCs w:val="1"/>
      <w:color w:val="000000"/>
      <w:sz w:val="24"/>
      <w:szCs w:val="24"/>
    </w:rPr>
  </w:style>
  <w:style w:type="paragraph" w:customStyle="1" w:styleId="BlockQuote">
    <w:name w:val="Block Quote"/>
    <w:basedOn w:val="Normal"/>
    <w:pPr>
      <w:keepNext w:val="0"/>
      <w:keepLines w:val="0"/>
      <w:pageBreakBefore w:val="0"/>
      <w:widowControl/>
      <w:spacing w:line="240" w:lineRule="auto" w:before="120" w:after="120"/>
      <w:ind w:left="425" w:right="0" w:firstLine="0"/>
      <w:jc w:val="left"/>
    </w:pPr>
    <w:rPr>
      <w:rFonts w:ascii="Times New Roman" w:hAnsi="Times New Roman" w:eastAsia="Times New Roman" w:cs="Times New Roman"/>
      <w:b w:val="0"/>
      <w:bCs w:val="0"/>
      <w:color w:val="000000"/>
      <w:sz w:val="24"/>
      <w:szCs w:val="24"/>
    </w:rPr>
  </w:style>
  <w:style w:type="paragraph" w:customStyle="1" w:styleId="header">
    <w:name w:val="header"/>
    <w:basedOn w:val="Normal"/>
    <w:pPr>
      <w:keepNext w:val="0"/>
      <w:keepLines w:val="0"/>
      <w:pageBreakBefore w:val="0"/>
      <w:widowControl/>
      <w:spacing w:line="240" w:lineRule="auto" w:before="0" w:after="0"/>
      <w:ind w:left="0" w:right="0" w:firstLine="0"/>
      <w:jc w:val="left"/>
    </w:pPr>
    <w:rPr>
      <w:rFonts w:ascii="Times New Roman" w:hAnsi="Times New Roman" w:eastAsia="Times New Roman" w:cs="Times New Roman"/>
      <w:b w:val="0"/>
      <w:bCs w:val="0"/>
      <w:color w:val="000000"/>
      <w:sz w:val="18"/>
      <w:szCs w:val="18"/>
    </w:rPr>
  </w:style>
  <w:style w:type="paragraph" w:customStyle="1" w:styleId="footer">
    <w:name w:val="footer"/>
    <w:basedOn w:val="Normal"/>
    <w:pPr>
      <w:keepNext w:val="0"/>
      <w:keepLines w:val="0"/>
      <w:pageBreakBefore w:val="0"/>
      <w:widowControl/>
      <w:spacing w:line="240" w:lineRule="auto" w:before="0" w:after="0"/>
      <w:ind w:left="0" w:right="0" w:firstLine="0"/>
      <w:jc w:val="center"/>
    </w:pPr>
    <w:rPr>
      <w:rFonts w:ascii="Times New Roman" w:hAnsi="Times New Roman" w:eastAsia="Times New Roman" w:cs="Times New Roman"/>
      <w:b w:val="0"/>
      <w:bCs w:val="0"/>
      <w:color w:val="000000"/>
      <w:sz w:val="18"/>
      <w:szCs w:val="18"/>
    </w:rPr>
  </w:style>
  <w:style w:type="character" w:customStyle="1" w:styleId="EndnoteReference">
    <w:name w:val="Endnote Reference"/>
    <w:rPr>
      <w:rFonts w:ascii="Times New Roman" w:hAnsi="Times New Roman" w:eastAsia="Times New Roman" w:cs="Times New Roman"/>
      <w:color w:val="000000"/>
      <w:sz w:val="20"/>
      <w:szCs w:val="20"/>
      <w:vertAlign w:val="superscript"/>
    </w:rPr>
  </w:style>
  <w:style w:type="paragraph" w:customStyle="1" w:styleId="GOTHeading1">
    <w:name w:val="GOT Heading 1"/>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GOTHeading2">
    <w:name w:val="GOT Heading 2"/>
    <w:basedOn w:val="Normal"/>
    <w:pPr>
      <w:keepNext/>
      <w:keepLines w:val="0"/>
      <w:pageBreakBefore w:val="0"/>
      <w:widowControl/>
      <w:spacing w:before="480" w:after="120" w:line="240" w:lineRule="auto"/>
      <w:ind w:left="0" w:right="0" w:firstLine="0"/>
      <w:jc w:val="left"/>
      <w:outlineLvl w:val="9"/>
    </w:pPr>
    <w:rPr>
      <w:rFonts w:ascii="Times New Roman" w:hAnsi="Times New Roman" w:eastAsia="Times New Roman" w:cs="Times New Roman"/>
      <w:b w:val="1"/>
      <w:bCs w:val="1"/>
      <w:color w:val="000000"/>
      <w:sz w:val="27"/>
      <w:szCs w:val="27"/>
    </w:rPr>
  </w:style>
  <w:style w:type="paragraph" w:customStyle="1" w:styleId="GOTHeading3">
    <w:name w:val="GOT Heading 3"/>
    <w:basedOn w:val="Normal"/>
    <w:pPr>
      <w:keepNext/>
      <w:keepLines w:val="0"/>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customStyle="1" w:styleId="GOTHeading4">
    <w:name w:val="GOT Heading 4"/>
    <w:basedOn w:val="Normal"/>
    <w:pPr>
      <w:keepNext/>
      <w:keepLines w:val="0"/>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customStyle="1" w:styleId="GOTIdentifier">
    <w:name w:val="GOT Identifier"/>
    <w:basedOn w:val="Normal"/>
    <w:pPr>
      <w:keepNext/>
      <w:keepLines w:val="0"/>
      <w:pageBreakBefore w:val="0"/>
      <w:widowControl/>
      <w:spacing w:before="0" w:after="120" w:line="240" w:lineRule="auto"/>
      <w:ind w:left="0" w:firstLine="0" w:right="0"/>
      <w:jc w:val="left"/>
      <w:outlineLvl w:val="9"/>
    </w:pPr>
    <w:rPr>
      <w:rFonts w:ascii="Times New Roman" w:hAnsi="Times New Roman" w:eastAsia="Times New Roman" w:cs="Times New Roman"/>
      <w:b w:val="0"/>
      <w:bCs w:val="0"/>
      <w:color w:val="000000"/>
      <w:sz w:val="20"/>
      <w:szCs w:val="20"/>
    </w:rPr>
  </w:style>
  <w:style w:type="paragraph" w:customStyle="1" w:styleId="GOTPaperTitle">
    <w:name w:val="GOT Paper Title"/>
    <w:basedOn w:val="Normal"/>
    <w:pPr>
      <w:keepNext/>
      <w:keepLines w:val="0"/>
      <w:pageBreakBefore w:val="0"/>
      <w:widowControl/>
      <w:spacing w:before="0" w:after="120" w:line="240" w:lineRule="auto"/>
      <w:ind w:left="0" w:firstLine="0" w:right="0"/>
      <w:jc w:val="left"/>
      <w:outlineLvl w:val="9"/>
    </w:pPr>
    <w:rPr>
      <w:rFonts w:ascii="Times New Roman" w:hAnsi="Times New Roman" w:eastAsia="Times New Roman" w:cs="Times New Roman"/>
      <w:b w:val="1"/>
      <w:bCs w:val="1"/>
      <w:color w:val="000000"/>
      <w:sz w:val="48"/>
      <w:szCs w:val="48"/>
    </w:rPr>
  </w:style>
  <w:style w:type="paragraph" w:customStyle="1" w:styleId="GOTPaperSubtitle">
    <w:name w:val="GOT Paper Subtitle"/>
    <w:basedOn w:val="Normal"/>
    <w:pPr>
      <w:keepNext/>
      <w:keepLines w:val="0"/>
      <w:pageBreakBefore w:val="0"/>
      <w:widowControl/>
      <w:spacing w:before="0" w:after="120" w:line="240" w:lineRule="auto"/>
      <w:ind w:left="0" w:firstLine="0" w:right="0"/>
      <w:jc w:val="left"/>
      <w:outlineLvl w:val="9"/>
    </w:pPr>
    <w:rPr>
      <w:rFonts w:ascii="Times New Roman" w:hAnsi="Times New Roman" w:eastAsia="Times New Roman" w:cs="Times New Roman"/>
      <w:b w:val="0"/>
      <w:bCs w:val="0"/>
      <w:color w:val="000000"/>
      <w:sz w:val="24"/>
      <w:szCs w:val="24"/>
    </w:rPr>
  </w:style>
  <w:style w:type="paragraph" w:customStyle="1" w:styleId="GOTAbstractHeading">
    <w:name w:val="GOT Abstract Heading"/>
    <w:basedOn w:val="Normal"/>
    <w:pPr>
      <w:keepNext/>
      <w:keepLines w:val="0"/>
      <w:pageBreakBefore w:val="0"/>
      <w:widowControl/>
      <w:spacing w:before="0" w:after="120" w:line="240" w:lineRule="auto"/>
      <w:ind w:left="0" w:firstLine="0" w:right="0"/>
      <w:jc w:val="left"/>
      <w:outlineLvl w:val="9"/>
    </w:pPr>
    <w:rPr>
      <w:rFonts w:ascii="Times New Roman" w:hAnsi="Times New Roman" w:eastAsia="Times New Roman" w:cs="Times New Roman"/>
      <w:b w:val="1"/>
      <w:bCs w:val="1"/>
      <w:color w:val="000000"/>
      <w:sz w:val="36"/>
      <w:szCs w:val="36"/>
    </w:rPr>
  </w:style>
  <w:style w:type="paragraph" w:customStyle="1" w:styleId="GOTEndMatterHeading">
    <w:name w:val="GOT End Matter Heading"/>
    <w:basedOn w:val="Normal"/>
    <w:pPr>
      <w:keepNext/>
      <w:keepLines w:val="0"/>
      <w:pageBreakBefore w:val="0"/>
      <w:widowControl/>
      <w:spacing w:before="360" w:after="120" w:line="240" w:lineRule="auto"/>
      <w:ind w:left="0" w:firstLine="0" w:right="0"/>
      <w:jc w:val="left"/>
      <w:outlineLvl w:val="9"/>
    </w:pPr>
    <w:rPr>
      <w:rFonts w:ascii="Times New Roman" w:hAnsi="Times New Roman" w:eastAsia="Times New Roman" w:cs="Times New Roman"/>
      <w:b w:val="1"/>
      <w:bCs w:val="1"/>
      <w:color w:val="000000"/>
      <w:sz w:val="36"/>
      <w:szCs w:val="36"/>
    </w:rPr>
  </w:style>
  <w:style w:type="paragraph" w:customStyle="1" w:styleId="GOTEndMatterLabel">
    <w:name w:val="GOT End Matter Label"/>
    <w:basedOn w:val="Normal"/>
    <w:pPr>
      <w:keepNext/>
      <w:keepLines w:val="0"/>
      <w:pageBreakBefore w:val="0"/>
      <w:widowControl/>
      <w:spacing w:before="120" w:after="100" w:line="240" w:lineRule="auto"/>
      <w:ind w:left="0" w:firstLine="0" w:right="0"/>
      <w:jc w:val="left"/>
      <w:outlineLvl w:val="9"/>
    </w:pPr>
    <w:rPr>
      <w:rFonts w:ascii="Times New Roman" w:hAnsi="Times New Roman" w:eastAsia="Times New Roman" w:cs="Times New Roman"/>
      <w:b w:val="1"/>
      <w:bCs w:val="1"/>
      <w:color w:val="000000"/>
      <w:sz w:val="20"/>
      <w:szCs w:val="20"/>
    </w:rPr>
  </w:style>
  <w:style w:type="paragraph" w:customStyle="1" w:styleId="GOTComponentLabel">
    <w:name w:val="GOT Component Label"/>
    <w:basedOn w:val="Normal"/>
    <w:pPr>
      <w:keepNext/>
      <w:keepLines w:val="0"/>
      <w:pageBreakBefore w:val="0"/>
      <w:widowControl/>
      <w:spacing w:before="120" w:after="60" w:line="240" w:lineRule="auto"/>
      <w:ind w:left="0" w:firstLine="0" w:right="0"/>
      <w:jc w:val="left"/>
      <w:outlineLvl w:val="9"/>
    </w:pPr>
    <w:rPr>
      <w:rFonts w:ascii="Times New Roman" w:hAnsi="Times New Roman" w:eastAsia="Times New Roman" w:cs="Times New Roman"/>
      <w:b w:val="1"/>
      <w:bCs w:val="1"/>
      <w:color w:val="000000"/>
      <w:sz w:val="24"/>
      <w:szCs w:val="24"/>
    </w:rPr>
  </w:style>
  <w:style w:type="paragraph" w:customStyle="1" w:styleId="GOTSeparator">
    <w:name w:val="GOT Separator"/>
    <w:basedOn w:val="Normal"/>
    <w:pPr>
      <w:keepNext/>
      <w:keepLines w:val="0"/>
      <w:pageBreakBefore w:val="0"/>
      <w:widowControl/>
      <w:pBdr>
        <w:bottom w:val="single" w:sz="4" w:space="0" w:color="000000"/>
      </w:pBdr>
      <w:spacing w:before="480" w:after="480" w:line="20" w:lineRule="exact"/>
      <w:ind w:left="0" w:firstLine="0" w:right="0"/>
      <w:jc w:val="left"/>
      <w:outlineLvl w:val="9"/>
    </w:pPr>
    <w:rPr>
      <w:rFonts w:ascii="Times New Roman" w:hAnsi="Times New Roman" w:eastAsia="Times New Roman" w:cs="Times New Roman"/>
      <w:b w:val="0"/>
      <w:bCs w:val="0"/>
      <w:color w:val="000000"/>
      <w:sz w:val="2"/>
      <w:szCs w:val="2"/>
    </w:rPr>
  </w:style>
  <w:style w:type="paragraph" w:customStyle="1" w:styleId="GOTReferenceEntry">
    <w:name w:val="GOT Reference Entry"/>
    <w:basedOn w:val="Normal"/>
    <w:pPr>
      <w:keepNext w:val="0"/>
      <w:keepLines w:val="0"/>
      <w:pageBreakBefore w:val="0"/>
      <w:widowControl/>
      <w:spacing w:before="0" w:after="100" w:line="240" w:lineRule="auto"/>
      <w:ind w:left="425" w:hanging="425" w:right="0"/>
      <w:jc w:val="left"/>
      <w:outlineLvl w:val="9"/>
    </w:pPr>
    <w:rPr>
      <w:rFonts w:ascii="Times New Roman" w:hAnsi="Times New Roman" w:eastAsia="Times New Roman" w:cs="Times New Roman"/>
      <w:b w:val="0"/>
      <w:b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endnotes" Target="endnotes.xml"/><Relationship Id="rId12" Type="http://schemas.openxmlformats.org/officeDocument/2006/relationships/header" Target="header3.xml"/><Relationship Id="rId1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Application>Microsoft Office Word</Application>
  <DocSecurity>0</DocSecurity>
  <ScaleCrop>false</ScaleCrop>
  <Company/>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the Origin of Observation</dc:title>
  <dc:subject>Bounded Registration and Realised Observer-Dependence</dc:subject>
  <dc:creator>Patrick Pullara</dc:creator>
  <cp:keywords/>
  <dc:description/>
  <cp:lastModifiedBy/>
  <cp:revision>4</cp:revision>
  <dcterms:created xsi:type="dcterms:W3CDTF">2026-06-14T08:31:00Z</dcterms:created>
  <dcterms:modified xsi:type="dcterms:W3CDTF">2026-09-23T11:43:09Z</dcterms:modified>
  <cp:version>Issue 1</cp:version>
  <dc:identifier>GOT-V1-2b-4</dc:identifier>
  <cp:contentStatus>Issue 1</cp:contentStatus>
  <cp:category>General Organisation Theory | Volume 1 | Part 2</cp:category>
</cp:coreProperties>
</file>